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DD7AB9" w14:textId="7BFFEFB1" w:rsidR="00E12BD2" w:rsidRPr="00E41DEA" w:rsidRDefault="00262037">
      <w:pPr>
        <w:pStyle w:val="Standard1"/>
        <w:jc w:val="right"/>
        <w:rPr>
          <w:rFonts w:eastAsia="PT Sans" w:cs="PT Sans"/>
          <w:sz w:val="18"/>
          <w:szCs w:val="18"/>
          <w:lang w:val="en-US"/>
        </w:rPr>
      </w:pPr>
      <w:r w:rsidRPr="00E41DEA">
        <w:rPr>
          <w:color w:val="1C2033"/>
          <w:sz w:val="18"/>
          <w:szCs w:val="18"/>
        </w:rPr>
        <w:t>PRESSEMITTEILUNG</w:t>
      </w:r>
      <w:r w:rsidRPr="00E41DEA">
        <w:rPr>
          <w:sz w:val="18"/>
          <w:szCs w:val="18"/>
        </w:rPr>
        <w:br/>
      </w:r>
      <w:r w:rsidR="00E41DEA">
        <w:rPr>
          <w:color w:val="1C2033"/>
          <w:sz w:val="18"/>
          <w:szCs w:val="18"/>
        </w:rPr>
        <w:t>9</w:t>
      </w:r>
      <w:r w:rsidRPr="00E41DEA">
        <w:rPr>
          <w:color w:val="1C2033"/>
          <w:sz w:val="18"/>
          <w:szCs w:val="18"/>
        </w:rPr>
        <w:t xml:space="preserve">. Juli 2026 </w:t>
      </w:r>
    </w:p>
    <w:p w14:paraId="45EDC64E" w14:textId="600B357D" w:rsidR="00E12BD2" w:rsidRPr="009C003C" w:rsidRDefault="00350BD1" w:rsidP="00350BD1">
      <w:pPr>
        <w:pStyle w:val="berschrift1"/>
        <w:spacing w:before="0"/>
        <w:rPr>
          <w:rFonts w:eastAsia="PT Sans" w:cs="PT Sans"/>
          <w:sz w:val="20"/>
          <w:szCs w:val="20"/>
          <w:lang w:val="en-US"/>
        </w:rPr>
      </w:pPr>
      <w:r w:rsidRPr="00350BD1">
        <w:t xml:space="preserve">INERATEC und </w:t>
      </w:r>
      <w:proofErr w:type="spellStart"/>
      <w:r w:rsidRPr="00350BD1">
        <w:t>Zeopore</w:t>
      </w:r>
      <w:proofErr w:type="spellEnd"/>
      <w:r w:rsidRPr="00350BD1">
        <w:t xml:space="preserve"> </w:t>
      </w:r>
      <w:r w:rsidR="00E41DEA">
        <w:t>treiben</w:t>
      </w:r>
      <w:r w:rsidRPr="00350BD1">
        <w:t xml:space="preserve"> </w:t>
      </w:r>
      <w:proofErr w:type="spellStart"/>
      <w:r w:rsidRPr="00350BD1">
        <w:t>Hydrocracking</w:t>
      </w:r>
      <w:proofErr w:type="spellEnd"/>
      <w:r w:rsidR="00E41DEA">
        <w:t>-Technologie</w:t>
      </w:r>
      <w:r w:rsidRPr="00350BD1">
        <w:t xml:space="preserve"> der nächsten Generation für CO₂-neutrale Kraftstoffe und Chemikalien</w:t>
      </w:r>
      <w:r w:rsidR="00E41DEA">
        <w:t xml:space="preserve"> voran.</w:t>
      </w:r>
    </w:p>
    <w:p w14:paraId="797237A2" w14:textId="77777777" w:rsidR="00E12BD2" w:rsidRPr="009C003C" w:rsidRDefault="00202A97" w:rsidP="00202A97">
      <w:pPr>
        <w:pStyle w:val="berschrift2"/>
        <w:rPr>
          <w:rFonts w:eastAsia="PT Sans" w:cs="PT Sans"/>
          <w:sz w:val="20"/>
          <w:szCs w:val="20"/>
          <w:lang w:val="en-US"/>
        </w:rPr>
      </w:pPr>
      <w:r w:rsidRPr="00202A97">
        <w:t xml:space="preserve">Die Zusammenarbeit verbindet die proprietäre Prozesstechnologie von INERATEC mit den leistungsstarken Zeolith-Katalysatoren von </w:t>
      </w:r>
      <w:proofErr w:type="spellStart"/>
      <w:r w:rsidRPr="00202A97">
        <w:t>Zeopore</w:t>
      </w:r>
      <w:proofErr w:type="spellEnd"/>
      <w:r w:rsidRPr="00202A97">
        <w:t>, um die Effizienz CO₂-neutraler Kraftstoffe weiter zu steigern und die wettbewerbsfähige Skalierung nachhaltiger Kraftstoff- und Chemikalienproduktion voranzutreiben.</w:t>
      </w:r>
    </w:p>
    <w:p w14:paraId="6BCFAF6A" w14:textId="77777777" w:rsidR="00FE3FB2" w:rsidRDefault="00FE3FB2" w:rsidP="008C3D7D">
      <w:pPr>
        <w:spacing w:after="0"/>
        <w:rPr>
          <w:rFonts w:eastAsia="PT Sans" w:cs="PT Sans"/>
          <w:b/>
          <w:bCs/>
          <w:color w:val="000000" w:themeColor="text1"/>
          <w:sz w:val="24"/>
          <w:szCs w:val="24"/>
          <w:lang w:val="en-GB"/>
        </w:rPr>
      </w:pPr>
    </w:p>
    <w:p w14:paraId="3F0A5586" w14:textId="2082A3C7" w:rsidR="00E12BD2" w:rsidRPr="009C003C" w:rsidRDefault="00561913">
      <w:pPr>
        <w:pStyle w:val="Standard1"/>
        <w:rPr>
          <w:rFonts w:eastAsia="PT Sans" w:cs="PT Sans"/>
          <w:sz w:val="20"/>
          <w:szCs w:val="20"/>
          <w:lang w:val="en-US"/>
        </w:rPr>
      </w:pPr>
      <w:r w:rsidRPr="00561913">
        <w:rPr>
          <w:b/>
          <w:bCs/>
        </w:rPr>
        <w:t xml:space="preserve">Karlsruhe (DE) / Leuven (BE), </w:t>
      </w:r>
      <w:r w:rsidR="00797EFA">
        <w:rPr>
          <w:b/>
          <w:bCs/>
        </w:rPr>
        <w:t>9</w:t>
      </w:r>
      <w:r w:rsidRPr="00561913">
        <w:rPr>
          <w:b/>
          <w:bCs/>
        </w:rPr>
        <w:t>. Juli 2026</w:t>
      </w:r>
      <w:r w:rsidRPr="00561913">
        <w:t xml:space="preserve"> – INERATEC und </w:t>
      </w:r>
      <w:proofErr w:type="spellStart"/>
      <w:r w:rsidRPr="00561913">
        <w:t>Zeopore</w:t>
      </w:r>
      <w:proofErr w:type="spellEnd"/>
      <w:r w:rsidRPr="00561913">
        <w:t xml:space="preserve"> geben eine erfolgreiche Technologiekooperation bekannt, die eine effizientere und wirtschaftlich wettbewerbsfähigere Produktion CO₂-neutraler e-Fuels und e-Chemicals ermöglicht.</w:t>
      </w:r>
    </w:p>
    <w:p w14:paraId="091CC904" w14:textId="77777777" w:rsidR="00E12BD2" w:rsidRPr="009C003C" w:rsidRDefault="009431A5">
      <w:pPr>
        <w:pStyle w:val="Standard1"/>
        <w:rPr>
          <w:rFonts w:eastAsia="PT Sans" w:cs="PT Sans"/>
          <w:sz w:val="20"/>
          <w:szCs w:val="20"/>
          <w:lang w:val="en-US"/>
        </w:rPr>
      </w:pPr>
      <w:r w:rsidRPr="009431A5">
        <w:t xml:space="preserve">Im Mittelpunkt der Zusammenarbeit steht das neu entwickelte </w:t>
      </w:r>
      <w:proofErr w:type="spellStart"/>
      <w:r w:rsidRPr="009431A5">
        <w:t>Hydrocracking</w:t>
      </w:r>
      <w:proofErr w:type="spellEnd"/>
      <w:r w:rsidRPr="009431A5">
        <w:t>-Verfahren von INERATEC, das darauf ausgelegt ist, Fischer-Tropsch-Wachse aus der Power-</w:t>
      </w:r>
      <w:proofErr w:type="spellStart"/>
      <w:r w:rsidRPr="009431A5">
        <w:t>to</w:t>
      </w:r>
      <w:proofErr w:type="spellEnd"/>
      <w:r w:rsidRPr="009431A5">
        <w:t xml:space="preserve">-Liquid-Produktion zu hochwertigen, </w:t>
      </w:r>
      <w:proofErr w:type="spellStart"/>
      <w:r w:rsidRPr="009431A5">
        <w:t>drop</w:t>
      </w:r>
      <w:proofErr w:type="spellEnd"/>
      <w:r w:rsidRPr="009431A5">
        <w:t xml:space="preserve">-in-fähigen Kraftstoffen und Chemikalien aufzuwerten. Die einzigartige Meso-Zeolith-Katalysatortechnologie von </w:t>
      </w:r>
      <w:proofErr w:type="spellStart"/>
      <w:r w:rsidRPr="009431A5">
        <w:t>Zeopore</w:t>
      </w:r>
      <w:proofErr w:type="spellEnd"/>
      <w:r w:rsidRPr="009431A5">
        <w:t xml:space="preserve"> steigert die Leistungsfähigkeit dieses Prozesses zusätzlich, indem sie katalytische Selektivität, Aktivität und Lebensdauer verbessert.</w:t>
      </w:r>
    </w:p>
    <w:p w14:paraId="592313FC" w14:textId="77777777" w:rsidR="00E12BD2" w:rsidRPr="009C003C" w:rsidRDefault="00617097">
      <w:pPr>
        <w:pStyle w:val="Standard1"/>
        <w:rPr>
          <w:rFonts w:eastAsia="PT Sans" w:cs="PT Sans"/>
          <w:sz w:val="20"/>
          <w:szCs w:val="20"/>
          <w:lang w:val="en-US"/>
        </w:rPr>
      </w:pPr>
      <w:r w:rsidRPr="00617097">
        <w:t xml:space="preserve">Gemeinsam verfolgen beide Unternehmen das Ziel, die Produktion nachhaltiger Kraftstoffe und Chemikalien schnell, skalierbar und </w:t>
      </w:r>
      <w:proofErr w:type="gramStart"/>
      <w:r w:rsidRPr="00617097">
        <w:t>mit reduziertem technologischen Risiko</w:t>
      </w:r>
      <w:proofErr w:type="gramEnd"/>
      <w:r w:rsidRPr="00617097">
        <w:t xml:space="preserve"> in den industriellen Maßstab zu überführen.</w:t>
      </w:r>
    </w:p>
    <w:p w14:paraId="564BAF39" w14:textId="77777777" w:rsidR="008D717A" w:rsidRDefault="008D717A" w:rsidP="008D717A">
      <w:pPr>
        <w:spacing w:after="0"/>
        <w:rPr>
          <w:lang w:val="en-US"/>
        </w:rPr>
      </w:pPr>
    </w:p>
    <w:p w14:paraId="0DED6A24" w14:textId="77777777" w:rsidR="00E12BD2" w:rsidRPr="009C003C" w:rsidRDefault="00FA07C8">
      <w:pPr>
        <w:pStyle w:val="Standard1"/>
        <w:rPr>
          <w:rFonts w:eastAsia="PT Sans" w:cs="PT Sans"/>
          <w:sz w:val="20"/>
          <w:szCs w:val="20"/>
          <w:lang w:val="en-US"/>
        </w:rPr>
      </w:pPr>
      <w:r w:rsidRPr="00FA07C8">
        <w:rPr>
          <w:b/>
          <w:bCs/>
        </w:rPr>
        <w:t>Effizienter Weg zur klimaneutralen Kraftstoffproduktion</w:t>
      </w:r>
    </w:p>
    <w:p w14:paraId="70FE2998" w14:textId="77777777" w:rsidR="00E12BD2" w:rsidRPr="00797EFA" w:rsidRDefault="00BD15A7">
      <w:pPr>
        <w:pStyle w:val="Standard1"/>
      </w:pPr>
      <w:r w:rsidRPr="00BD15A7">
        <w:t>Die wegweisenden, modularen Power-</w:t>
      </w:r>
      <w:proofErr w:type="spellStart"/>
      <w:r w:rsidRPr="00BD15A7">
        <w:t>to</w:t>
      </w:r>
      <w:proofErr w:type="spellEnd"/>
      <w:r w:rsidRPr="00BD15A7">
        <w:t xml:space="preserve">-Liquid-Anlagen von INERATEC decken die gesamte Wertschöpfungskette nachhaltiger Kraftstoffproduktion ab – von grünem CO₂ und Wasserstoff bis hin zu </w:t>
      </w:r>
      <w:proofErr w:type="spellStart"/>
      <w:r w:rsidRPr="00BD15A7">
        <w:t>drop</w:t>
      </w:r>
      <w:proofErr w:type="spellEnd"/>
      <w:r w:rsidRPr="00BD15A7">
        <w:t>-in-fähigen Kraftstoffen und Chemikalien. Im Kern des Verfahrens werden die Reverse-Water-Gas-Shift-Reaktion und die Niedertemperatur-Fischer-Tropsch-Synthese optimal miteinander gekoppelt, um erneuerbare Rohstoffe in hochwertige synthetische Kohlenwasserstoffe umzuwandeln.</w:t>
      </w:r>
    </w:p>
    <w:p w14:paraId="7578BE85" w14:textId="77777777" w:rsidR="00E46824" w:rsidRDefault="00E46824">
      <w:pPr>
        <w:rPr>
          <w:lang w:val="en-US"/>
        </w:rPr>
      </w:pPr>
    </w:p>
    <w:p w14:paraId="37EB0C17" w14:textId="3F14F34F" w:rsidR="00126D37" w:rsidRDefault="00126D37" w:rsidP="00E46824">
      <w:pPr>
        <w:spacing w:line="240" w:lineRule="auto"/>
        <w:jc w:val="center"/>
        <w:rPr>
          <w:lang w:val="en-US"/>
        </w:rPr>
      </w:pPr>
      <w:r>
        <w:rPr>
          <w:noProof/>
          <w:lang w:val="en-US"/>
        </w:rPr>
        <w:lastRenderedPageBreak/>
        <w:drawing>
          <wp:inline distT="0" distB="0" distL="0" distR="0" wp14:anchorId="21C7004F" wp14:editId="546DEF53">
            <wp:extent cx="3311158" cy="2482513"/>
            <wp:effectExtent l="12700" t="12700" r="1651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11158" cy="2482513"/>
                    </a:xfrm>
                    <a:prstGeom prst="rect">
                      <a:avLst/>
                    </a:prstGeom>
                    <a:ln w="3175">
                      <a:solidFill>
                        <a:schemeClr val="accent1"/>
                      </a:solidFill>
                    </a:ln>
                  </pic:spPr>
                </pic:pic>
              </a:graphicData>
            </a:graphic>
          </wp:inline>
        </w:drawing>
      </w:r>
    </w:p>
    <w:p w14:paraId="6D57ABF5" w14:textId="77777777" w:rsidR="00E12BD2" w:rsidRPr="009C003C" w:rsidRDefault="003C73BA">
      <w:pPr>
        <w:pStyle w:val="Standard1"/>
        <w:rPr>
          <w:rFonts w:eastAsia="PT Sans" w:cs="PT Sans"/>
          <w:sz w:val="20"/>
          <w:szCs w:val="20"/>
          <w:lang w:val="en-US"/>
        </w:rPr>
      </w:pPr>
      <w:r w:rsidRPr="003C73BA">
        <w:t xml:space="preserve">Durch die direkte Integration von Mikrostrukturtechnologie in gestapelte Reaktorfolien mit </w:t>
      </w:r>
      <w:proofErr w:type="gramStart"/>
      <w:r w:rsidRPr="003C73BA">
        <w:t>extrem feinen</w:t>
      </w:r>
      <w:proofErr w:type="gramEnd"/>
      <w:r w:rsidRPr="003C73BA">
        <w:t xml:space="preserve"> Kanälen ermöglicht INERATEC einen außergewöhnlich präzisen Stoff- und Wärmeaustausch über den gesamten Prozess hinweg. Dieses innovative Reaktordesign maximiert die Energieeffizienz, passt sich dynamisch </w:t>
      </w:r>
      <w:proofErr w:type="gramStart"/>
      <w:r w:rsidRPr="003C73BA">
        <w:t>an schwankende</w:t>
      </w:r>
      <w:proofErr w:type="gramEnd"/>
      <w:r w:rsidRPr="003C73BA">
        <w:t xml:space="preserve"> Einspeisungen erneuerbarer Energien an und bietet eine hoch skalierbare Lösung für die klimaneutrale Produktion von Kraftstoffen und Chemikalien.</w:t>
      </w:r>
    </w:p>
    <w:p w14:paraId="290B54CF" w14:textId="77777777" w:rsidR="00126D37" w:rsidRDefault="00126D37" w:rsidP="00FE3FB2">
      <w:pPr>
        <w:rPr>
          <w:lang w:val="en-US"/>
        </w:rPr>
      </w:pPr>
    </w:p>
    <w:p w14:paraId="0B58FF0C" w14:textId="77777777" w:rsidR="00E12BD2" w:rsidRPr="009C003C" w:rsidRDefault="00531ADF">
      <w:pPr>
        <w:pStyle w:val="Standard1"/>
        <w:rPr>
          <w:rFonts w:eastAsia="PT Sans" w:cs="PT Sans"/>
          <w:sz w:val="20"/>
          <w:szCs w:val="20"/>
          <w:lang w:val="en-US"/>
        </w:rPr>
      </w:pPr>
      <w:r w:rsidRPr="00531ADF">
        <w:rPr>
          <w:b/>
          <w:bCs/>
        </w:rPr>
        <w:t xml:space="preserve">Proprietäre </w:t>
      </w:r>
      <w:proofErr w:type="spellStart"/>
      <w:r w:rsidRPr="00531ADF">
        <w:rPr>
          <w:b/>
          <w:bCs/>
        </w:rPr>
        <w:t>Hydrocracking</w:t>
      </w:r>
      <w:proofErr w:type="spellEnd"/>
      <w:r w:rsidRPr="00531ADF">
        <w:rPr>
          <w:b/>
          <w:bCs/>
        </w:rPr>
        <w:t>-Technologie von INERATEC</w:t>
      </w:r>
    </w:p>
    <w:p w14:paraId="0C75899F" w14:textId="77777777" w:rsidR="00E12BD2" w:rsidRPr="009C003C" w:rsidRDefault="0084618E">
      <w:pPr>
        <w:pStyle w:val="Standard1"/>
        <w:rPr>
          <w:rFonts w:eastAsia="PT Sans" w:cs="PT Sans"/>
          <w:sz w:val="20"/>
          <w:szCs w:val="20"/>
          <w:lang w:val="en-US"/>
        </w:rPr>
      </w:pPr>
      <w:r w:rsidRPr="0084618E">
        <w:t xml:space="preserve">Schwere Wachse, die in der Fischer-Tropsch-Synthese entstehen, können in einer nachgeschalteten </w:t>
      </w:r>
      <w:proofErr w:type="spellStart"/>
      <w:r w:rsidRPr="0084618E">
        <w:t>Hydrocracking</w:t>
      </w:r>
      <w:proofErr w:type="spellEnd"/>
      <w:r w:rsidRPr="0084618E">
        <w:t>-Stufe zu hochwertigen e-Fuels veredelt werden. Dabei werden langkettige Paraffine in verzweigte Kohlenwasserstoffe mit optimalen Kraftstoffeigenschaften gespalten und isomerisiert – darunter niedrigere Gefrierpunkte und eine verbesserte Motorenperformance.</w:t>
      </w:r>
    </w:p>
    <w:p w14:paraId="48DC55D9" w14:textId="77777777" w:rsidR="00E12BD2" w:rsidRPr="009C003C" w:rsidRDefault="00EA266F">
      <w:pPr>
        <w:pStyle w:val="Standard2"/>
        <w:rPr>
          <w:rFonts w:eastAsia="PT Sans" w:cs="PT Sans"/>
          <w:sz w:val="20"/>
          <w:szCs w:val="20"/>
          <w:lang w:val="en-US"/>
        </w:rPr>
      </w:pPr>
      <w:r w:rsidRPr="00291DE1">
        <w:t>Um die Prozesseffizienz weiter zu erhöhen und das modulare Power-</w:t>
      </w:r>
      <w:proofErr w:type="spellStart"/>
      <w:r w:rsidRPr="00291DE1">
        <w:t>to</w:t>
      </w:r>
      <w:proofErr w:type="spellEnd"/>
      <w:r w:rsidRPr="00291DE1">
        <w:t xml:space="preserve">-Liquid-Konzept zu stärken, hat INERATEC eine eigene proprietäre Upgrading-Technologie entwickelt: ein skalierbares, modulares und kosteneffizientes </w:t>
      </w:r>
      <w:proofErr w:type="spellStart"/>
      <w:r w:rsidRPr="00291DE1">
        <w:t>Hydrocracking</w:t>
      </w:r>
      <w:proofErr w:type="spellEnd"/>
      <w:r w:rsidRPr="00291DE1">
        <w:t xml:space="preserve">-Verfahren, das speziell für die Umwandlung von Fischer-Tropsch-Wachsen in </w:t>
      </w:r>
      <w:proofErr w:type="spellStart"/>
      <w:r w:rsidRPr="00291DE1">
        <w:t>drop</w:t>
      </w:r>
      <w:proofErr w:type="spellEnd"/>
      <w:r w:rsidRPr="00291DE1">
        <w:t>-in-fähige nachhaltige Kraftstoffe und Chemikalien ausgelegt ist.</w:t>
      </w:r>
      <w:r>
        <w:t xml:space="preserve"> </w:t>
      </w:r>
      <w:r w:rsidR="00033F26" w:rsidRPr="00033F26">
        <w:t>Die wichtigsten Vorteile sind:</w:t>
      </w:r>
    </w:p>
    <w:p w14:paraId="6763D1ED" w14:textId="48BC7287" w:rsidR="00EA266F" w:rsidRDefault="008627D9" w:rsidP="008627D9">
      <w:pPr>
        <w:pStyle w:val="Standard2"/>
        <w:numPr>
          <w:ilvl w:val="0"/>
          <w:numId w:val="16"/>
        </w:numPr>
        <w:jc w:val="left"/>
        <w:rPr>
          <w:rFonts w:cs="Calibri"/>
          <w:color w:val="auto"/>
        </w:rPr>
      </w:pPr>
      <w:r w:rsidRPr="008627D9">
        <w:rPr>
          <w:rFonts w:cs="Calibri"/>
          <w:b/>
          <w:bCs/>
          <w:color w:val="auto"/>
        </w:rPr>
        <w:t xml:space="preserve">Höhere </w:t>
      </w:r>
      <w:r w:rsidR="003E5886">
        <w:rPr>
          <w:rFonts w:cs="Calibri"/>
          <w:b/>
          <w:bCs/>
          <w:color w:val="auto"/>
        </w:rPr>
        <w:t>e-</w:t>
      </w:r>
      <w:r w:rsidRPr="008627D9">
        <w:rPr>
          <w:rFonts w:cs="Calibri"/>
          <w:b/>
          <w:bCs/>
          <w:color w:val="auto"/>
        </w:rPr>
        <w:t>SAF-Ausbeute:</w:t>
      </w:r>
      <w:r w:rsidRPr="008627D9">
        <w:rPr>
          <w:rFonts w:cs="Calibri"/>
          <w:color w:val="auto"/>
        </w:rPr>
        <w:t xml:space="preserve"> Der innovative Niederdruck-</w:t>
      </w:r>
      <w:proofErr w:type="spellStart"/>
      <w:r w:rsidRPr="008627D9">
        <w:rPr>
          <w:rFonts w:cs="Calibri"/>
          <w:color w:val="auto"/>
        </w:rPr>
        <w:t>Hydrocracking</w:t>
      </w:r>
      <w:proofErr w:type="spellEnd"/>
      <w:r w:rsidRPr="008627D9">
        <w:rPr>
          <w:rFonts w:cs="Calibri"/>
          <w:color w:val="auto"/>
        </w:rPr>
        <w:t xml:space="preserve">-Ansatz erzielt eine höhere </w:t>
      </w:r>
      <w:r w:rsidR="003E5886">
        <w:rPr>
          <w:rFonts w:cs="Calibri"/>
          <w:color w:val="auto"/>
        </w:rPr>
        <w:t>e-</w:t>
      </w:r>
      <w:r w:rsidRPr="008627D9">
        <w:rPr>
          <w:rFonts w:cs="Calibri"/>
          <w:color w:val="auto"/>
        </w:rPr>
        <w:t>SAF-Ausbeute, indem er interne Diffusionslimitierungen durch ein fortschrittliches Katalysatordesign überwindet und so eine effizientere Umwandlung von FT-</w:t>
      </w:r>
      <w:proofErr w:type="spellStart"/>
      <w:r w:rsidRPr="008627D9">
        <w:rPr>
          <w:rFonts w:cs="Calibri"/>
          <w:color w:val="auto"/>
        </w:rPr>
        <w:t>Syncrude</w:t>
      </w:r>
      <w:proofErr w:type="spellEnd"/>
      <w:r w:rsidRPr="008627D9">
        <w:rPr>
          <w:rFonts w:cs="Calibri"/>
          <w:color w:val="auto"/>
        </w:rPr>
        <w:t xml:space="preserve"> in nachhaltigen Flugkraftstoff ermöglicht.</w:t>
      </w:r>
    </w:p>
    <w:p w14:paraId="606B02C2" w14:textId="77777777" w:rsidR="00EA266F" w:rsidRDefault="00DA6210" w:rsidP="00DA6210">
      <w:pPr>
        <w:pStyle w:val="Standard2"/>
        <w:numPr>
          <w:ilvl w:val="0"/>
          <w:numId w:val="16"/>
        </w:numPr>
        <w:jc w:val="left"/>
        <w:rPr>
          <w:rFonts w:cs="Calibri"/>
          <w:color w:val="auto"/>
        </w:rPr>
      </w:pPr>
      <w:r w:rsidRPr="00DA6210">
        <w:rPr>
          <w:rFonts w:cs="Calibri"/>
          <w:b/>
          <w:bCs/>
          <w:color w:val="auto"/>
        </w:rPr>
        <w:t>Niedrigere OPEX:</w:t>
      </w:r>
      <w:r w:rsidRPr="00DA6210">
        <w:rPr>
          <w:rFonts w:cs="Calibri"/>
          <w:color w:val="auto"/>
        </w:rPr>
        <w:t xml:space="preserve"> Die vereinfachte Prozesskonfiguration senkt die Betriebskosten, indem sie die Prozesskomplexität reduziert, energieintensive Prozessschritte minimiert und den Bedarf an Hochdrucksystemen, Dampfintegration sowie umfangreicher nachgelagerter Aufbereitung vermeidet.</w:t>
      </w:r>
    </w:p>
    <w:p w14:paraId="144840D3" w14:textId="28C63BB9" w:rsidR="00E12BD2" w:rsidRPr="003A0252" w:rsidRDefault="003A0252" w:rsidP="003A0252">
      <w:pPr>
        <w:pStyle w:val="Standard2"/>
        <w:numPr>
          <w:ilvl w:val="0"/>
          <w:numId w:val="16"/>
        </w:numPr>
        <w:jc w:val="left"/>
        <w:rPr>
          <w:rFonts w:cs="Calibri"/>
          <w:color w:val="auto"/>
        </w:rPr>
      </w:pPr>
      <w:r w:rsidRPr="003A0252">
        <w:rPr>
          <w:rFonts w:cs="Calibri"/>
          <w:b/>
          <w:bCs/>
          <w:color w:val="auto"/>
        </w:rPr>
        <w:t>Niedrigere CAPEX:</w:t>
      </w:r>
      <w:r w:rsidRPr="003A0252">
        <w:rPr>
          <w:rFonts w:cs="Calibri"/>
          <w:color w:val="auto"/>
        </w:rPr>
        <w:t xml:space="preserve"> Die schlanke Anlagenarchitektur reduziert den erforderlichen Kapitaleinsatz, indem sie auf komplexe Hochdruckausrüstung verzichtet und die Zahl zentraler Prozesseinheiten verringert – und unterstützt damit eine kompaktere und besser skalierbare </w:t>
      </w:r>
      <w:r w:rsidR="003E5886">
        <w:rPr>
          <w:rFonts w:cs="Calibri"/>
          <w:color w:val="auto"/>
        </w:rPr>
        <w:t>e-</w:t>
      </w:r>
      <w:r w:rsidRPr="003A0252">
        <w:rPr>
          <w:rFonts w:cs="Calibri"/>
          <w:color w:val="auto"/>
        </w:rPr>
        <w:t>SAF-Produktionslösung.</w:t>
      </w:r>
    </w:p>
    <w:p w14:paraId="4A2130B2" w14:textId="230AF213" w:rsidR="00E12BD2" w:rsidRPr="009C003C" w:rsidRDefault="00E12BD2">
      <w:pPr>
        <w:pStyle w:val="Standard1"/>
        <w:rPr>
          <w:rFonts w:eastAsia="PT Sans" w:cs="PT Sans"/>
          <w:sz w:val="20"/>
          <w:szCs w:val="20"/>
          <w:lang w:val="en-US"/>
        </w:rPr>
      </w:pPr>
    </w:p>
    <w:p w14:paraId="091A7410" w14:textId="3529F184" w:rsidR="00E12BD2" w:rsidRPr="009C003C" w:rsidRDefault="006B16AF">
      <w:pPr>
        <w:pStyle w:val="Standard1"/>
        <w:rPr>
          <w:rFonts w:eastAsia="PT Sans" w:cs="PT Sans"/>
          <w:sz w:val="20"/>
          <w:szCs w:val="20"/>
          <w:lang w:val="en-US"/>
        </w:rPr>
      </w:pPr>
      <w:r w:rsidRPr="006B16AF">
        <w:t xml:space="preserve">Diese </w:t>
      </w:r>
      <w:r w:rsidR="006A6C8C">
        <w:t>proprietäre</w:t>
      </w:r>
      <w:r w:rsidRPr="006B16AF">
        <w:t xml:space="preserve"> Technologie erweitert die integrierte Wertschöpfungskette von INERATEC und stärkt die Position des Unternehmens als Technologieführer in der Power-</w:t>
      </w:r>
      <w:proofErr w:type="spellStart"/>
      <w:r w:rsidRPr="006B16AF">
        <w:t>to</w:t>
      </w:r>
      <w:proofErr w:type="spellEnd"/>
      <w:r w:rsidRPr="006B16AF">
        <w:t>-Liquid-Produktion – von CO₂- und Wasserstoff-Rohstoffen bis hin zu Endprodukten, die in bestehender Infrastruktur eingesetzt werden können.</w:t>
      </w:r>
    </w:p>
    <w:p w14:paraId="3BDB883A" w14:textId="77777777" w:rsidR="007A35D0" w:rsidRPr="00687032" w:rsidRDefault="007A35D0" w:rsidP="271E32EF">
      <w:pPr>
        <w:rPr>
          <w:lang w:val="en-US"/>
        </w:rPr>
      </w:pPr>
    </w:p>
    <w:p w14:paraId="30905312" w14:textId="77777777" w:rsidR="00E12BD2" w:rsidRPr="009C003C" w:rsidRDefault="007611F1">
      <w:pPr>
        <w:pStyle w:val="Standard1"/>
        <w:rPr>
          <w:rFonts w:eastAsia="PT Sans" w:cs="PT Sans"/>
          <w:sz w:val="20"/>
          <w:szCs w:val="20"/>
          <w:lang w:val="en-US"/>
        </w:rPr>
      </w:pPr>
      <w:proofErr w:type="spellStart"/>
      <w:r w:rsidRPr="007611F1">
        <w:rPr>
          <w:b/>
          <w:bCs/>
        </w:rPr>
        <w:t>Zeopore</w:t>
      </w:r>
      <w:proofErr w:type="spellEnd"/>
      <w:r w:rsidRPr="007611F1">
        <w:rPr>
          <w:b/>
          <w:bCs/>
        </w:rPr>
        <w:t>-Katalysatoren als zentraler Leistungshebel</w:t>
      </w:r>
    </w:p>
    <w:p w14:paraId="119094F8" w14:textId="77777777" w:rsidR="00E12BD2" w:rsidRPr="009C003C" w:rsidRDefault="001F1B89">
      <w:pPr>
        <w:pStyle w:val="Standard1"/>
        <w:rPr>
          <w:rFonts w:eastAsia="PT Sans" w:cs="PT Sans"/>
          <w:sz w:val="20"/>
          <w:szCs w:val="20"/>
          <w:lang w:val="en-US"/>
        </w:rPr>
      </w:pPr>
      <w:r w:rsidRPr="001F1B89">
        <w:t xml:space="preserve">Durch die Integration der Katalysatortechnologie von </w:t>
      </w:r>
      <w:proofErr w:type="spellStart"/>
      <w:r w:rsidRPr="001F1B89">
        <w:t>Zeopore</w:t>
      </w:r>
      <w:proofErr w:type="spellEnd"/>
      <w:r w:rsidRPr="001F1B89">
        <w:t xml:space="preserve"> in das </w:t>
      </w:r>
      <w:proofErr w:type="spellStart"/>
      <w:r w:rsidRPr="001F1B89">
        <w:t>Hydrocracking</w:t>
      </w:r>
      <w:proofErr w:type="spellEnd"/>
      <w:r w:rsidRPr="001F1B89">
        <w:t>-Verfahren hebt INERATEC die Prozesseffizienz auf ein neues Niveau. Die optimierte Struktur des Katalysators mit gezielt eingebrachten „Mesoporen“, die als interne molekulare Transportwege dienen, ermöglicht eine hoch kontrollierte Umwandlung von Fischer-Tropsch-Wachsen in hochwertige Kraftstoffe und Chemikalien.</w:t>
      </w:r>
    </w:p>
    <w:p w14:paraId="5D2D1425" w14:textId="77777777" w:rsidR="00E12BD2" w:rsidRPr="009C003C" w:rsidRDefault="006A69D9">
      <w:pPr>
        <w:pStyle w:val="Standard1"/>
        <w:rPr>
          <w:rFonts w:eastAsia="PT Sans" w:cs="PT Sans"/>
          <w:sz w:val="20"/>
          <w:szCs w:val="20"/>
          <w:lang w:val="en-US"/>
        </w:rPr>
      </w:pPr>
      <w:r w:rsidRPr="006A69D9">
        <w:t xml:space="preserve">Die folgende Abbildung zeigt den Kern der </w:t>
      </w:r>
      <w:proofErr w:type="spellStart"/>
      <w:r w:rsidRPr="006A69D9">
        <w:t>Zeopore</w:t>
      </w:r>
      <w:proofErr w:type="spellEnd"/>
      <w:r w:rsidRPr="006A69D9">
        <w:t>-Technologie: die ungehinderte Diffusion von Einsatzmolekülen in die erweiterte Porenstruktur und deren anschließende selektive Spaltung an den aktiven Zentren zu den gewünschten Produkten – in diesem Fall SAF.</w:t>
      </w:r>
    </w:p>
    <w:p w14:paraId="6753AC51" w14:textId="77777777" w:rsidR="00E46824" w:rsidRDefault="00E46824" w:rsidP="00DD7477">
      <w:pPr>
        <w:spacing w:line="240" w:lineRule="auto"/>
        <w:rPr>
          <w:lang w:val="en-US"/>
        </w:rPr>
      </w:pPr>
    </w:p>
    <w:p w14:paraId="4023C6C1" w14:textId="563C2154" w:rsidR="00126D37" w:rsidRDefault="00EB5359" w:rsidP="00E46824">
      <w:pPr>
        <w:spacing w:line="240" w:lineRule="auto"/>
        <w:jc w:val="center"/>
        <w:rPr>
          <w:lang w:val="en-US"/>
        </w:rPr>
      </w:pPr>
      <w:r>
        <w:rPr>
          <w:noProof/>
          <w:lang w:val="en-US"/>
        </w:rPr>
        <w:drawing>
          <wp:inline distT="0" distB="0" distL="0" distR="0" wp14:anchorId="5BD77A77" wp14:editId="5218A3A9">
            <wp:extent cx="5016509" cy="2410293"/>
            <wp:effectExtent l="0" t="0" r="0" b="317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opoization whit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34451" cy="2418914"/>
                    </a:xfrm>
                    <a:prstGeom prst="rect">
                      <a:avLst/>
                    </a:prstGeom>
                  </pic:spPr>
                </pic:pic>
              </a:graphicData>
            </a:graphic>
          </wp:inline>
        </w:drawing>
      </w:r>
    </w:p>
    <w:p w14:paraId="0D1F1F06" w14:textId="77777777" w:rsidR="007B29A8" w:rsidRDefault="007B29A8" w:rsidP="007B29A8">
      <w:pPr>
        <w:rPr>
          <w:lang w:val="en-US"/>
        </w:rPr>
      </w:pPr>
    </w:p>
    <w:p w14:paraId="6DC35C86" w14:textId="77777777" w:rsidR="00E12BD2" w:rsidRPr="009C003C" w:rsidRDefault="00A559AB">
      <w:pPr>
        <w:pStyle w:val="Standard1"/>
        <w:rPr>
          <w:rFonts w:eastAsia="PT Sans" w:cs="PT Sans"/>
          <w:sz w:val="20"/>
          <w:szCs w:val="20"/>
          <w:lang w:val="en-US"/>
        </w:rPr>
      </w:pPr>
      <w:r w:rsidRPr="00A559AB">
        <w:t xml:space="preserve">Die Kombination der proprietären </w:t>
      </w:r>
      <w:proofErr w:type="spellStart"/>
      <w:r w:rsidRPr="00A559AB">
        <w:t>Hydrocracking</w:t>
      </w:r>
      <w:proofErr w:type="spellEnd"/>
      <w:r w:rsidRPr="00A559AB">
        <w:t xml:space="preserve">-Technologie und des modularen Reaktordesigns von INERATEC mit den hochleistungsfähigen Zeolith-Katalysatoren von </w:t>
      </w:r>
      <w:proofErr w:type="spellStart"/>
      <w:r w:rsidRPr="00A559AB">
        <w:t>Zeopore</w:t>
      </w:r>
      <w:proofErr w:type="spellEnd"/>
      <w:r w:rsidRPr="00A559AB">
        <w:t xml:space="preserve"> ist ein wichtiger Performance-Booster – sie verbessert Effizienz, Produktqualität und wirtschaftliche Wettbewerbsfähigkeit der synthetischen Kraftstoffproduktion.</w:t>
      </w:r>
    </w:p>
    <w:p w14:paraId="020029DF" w14:textId="77777777" w:rsidR="00E12BD2" w:rsidRPr="009C003C" w:rsidRDefault="004C64D4">
      <w:pPr>
        <w:pStyle w:val="Standard1"/>
        <w:rPr>
          <w:rFonts w:eastAsia="PT Sans" w:cs="PT Sans"/>
          <w:sz w:val="20"/>
          <w:szCs w:val="20"/>
          <w:lang w:val="en-US"/>
        </w:rPr>
      </w:pPr>
      <w:r w:rsidRPr="004C64D4">
        <w:t xml:space="preserve">Die komplementäre Zusammenarbeit baut auf der umfassenden Erfahrung von </w:t>
      </w:r>
      <w:proofErr w:type="spellStart"/>
      <w:r w:rsidRPr="004C64D4">
        <w:t>Zeopore</w:t>
      </w:r>
      <w:proofErr w:type="spellEnd"/>
      <w:r w:rsidRPr="004C64D4">
        <w:t xml:space="preserve"> in der Optimierung von Zeolithen für </w:t>
      </w:r>
      <w:proofErr w:type="spellStart"/>
      <w:r w:rsidRPr="004C64D4">
        <w:t>Cracking</w:t>
      </w:r>
      <w:proofErr w:type="spellEnd"/>
      <w:r w:rsidRPr="004C64D4">
        <w:t xml:space="preserve">-, </w:t>
      </w:r>
      <w:proofErr w:type="spellStart"/>
      <w:r w:rsidRPr="004C64D4">
        <w:t>Isomerisierungs</w:t>
      </w:r>
      <w:proofErr w:type="spellEnd"/>
      <w:r w:rsidRPr="004C64D4">
        <w:t xml:space="preserve">-, Aromatisierungs- und Alkoholumwandlungsprozesse auf. </w:t>
      </w:r>
      <w:proofErr w:type="spellStart"/>
      <w:r w:rsidRPr="004C64D4">
        <w:t>Zeopore</w:t>
      </w:r>
      <w:proofErr w:type="spellEnd"/>
      <w:r w:rsidRPr="004C64D4">
        <w:t xml:space="preserve"> nutzt diese tiefgehende Expertise bereits aktiv zur Optimierung von </w:t>
      </w:r>
      <w:proofErr w:type="spellStart"/>
      <w:r w:rsidRPr="004C64D4">
        <w:t>Hydrocracking</w:t>
      </w:r>
      <w:proofErr w:type="spellEnd"/>
      <w:r w:rsidRPr="004C64D4">
        <w:t xml:space="preserve">- und </w:t>
      </w:r>
      <w:proofErr w:type="spellStart"/>
      <w:r w:rsidRPr="004C64D4">
        <w:t>Dewaxing</w:t>
      </w:r>
      <w:proofErr w:type="spellEnd"/>
      <w:r w:rsidRPr="004C64D4">
        <w:t>-Prozessen in der konventionellen Kraftstoffproduktion und erweitert den Fokus nun zugleich auf nachhaltige CO₂-Umwandlungsprozesse.</w:t>
      </w:r>
    </w:p>
    <w:p w14:paraId="50462645" w14:textId="77777777" w:rsidR="007A35D0" w:rsidRPr="00322703" w:rsidRDefault="007A35D0">
      <w:pPr>
        <w:rPr>
          <w:lang w:val="en-US"/>
        </w:rPr>
      </w:pPr>
    </w:p>
    <w:p w14:paraId="729EE2D4" w14:textId="77777777" w:rsidR="00E41DEA" w:rsidRDefault="00E41DEA">
      <w:pPr>
        <w:pStyle w:val="Standard1"/>
        <w:rPr>
          <w:b/>
          <w:bCs/>
        </w:rPr>
        <w:sectPr w:rsidR="00E41DEA" w:rsidSect="00D81A89">
          <w:headerReference w:type="even" r:id="rId14"/>
          <w:headerReference w:type="default" r:id="rId15"/>
          <w:footerReference w:type="even" r:id="rId16"/>
          <w:footerReference w:type="default" r:id="rId17"/>
          <w:headerReference w:type="first" r:id="rId18"/>
          <w:footerReference w:type="first" r:id="rId19"/>
          <w:pgSz w:w="11900" w:h="16840"/>
          <w:pgMar w:top="1843" w:right="1418" w:bottom="1134" w:left="1418" w:header="567" w:footer="510" w:gutter="0"/>
          <w:pgNumType w:start="1"/>
          <w:cols w:space="720"/>
          <w:docGrid w:linePitch="299"/>
        </w:sectPr>
      </w:pPr>
    </w:p>
    <w:p w14:paraId="48E52C11" w14:textId="77777777" w:rsidR="00E12BD2" w:rsidRPr="009C003C" w:rsidRDefault="00425C03">
      <w:pPr>
        <w:pStyle w:val="Standard1"/>
        <w:rPr>
          <w:rFonts w:eastAsia="PT Sans" w:cs="PT Sans"/>
          <w:sz w:val="20"/>
          <w:szCs w:val="20"/>
          <w:lang w:val="en-US"/>
        </w:rPr>
      </w:pPr>
      <w:r w:rsidRPr="00425C03">
        <w:rPr>
          <w:b/>
          <w:bCs/>
        </w:rPr>
        <w:lastRenderedPageBreak/>
        <w:t xml:space="preserve">Leistungsvorteile durch den Einsatz von </w:t>
      </w:r>
      <w:proofErr w:type="spellStart"/>
      <w:r w:rsidRPr="00425C03">
        <w:rPr>
          <w:b/>
          <w:bCs/>
        </w:rPr>
        <w:t>Zeopore</w:t>
      </w:r>
      <w:proofErr w:type="spellEnd"/>
      <w:r w:rsidRPr="00425C03">
        <w:rPr>
          <w:b/>
          <w:bCs/>
        </w:rPr>
        <w:t>-Katalysatoren im Niederdruck-</w:t>
      </w:r>
      <w:proofErr w:type="spellStart"/>
      <w:r w:rsidRPr="00425C03">
        <w:rPr>
          <w:b/>
          <w:bCs/>
        </w:rPr>
        <w:t>Hydrocracking</w:t>
      </w:r>
      <w:proofErr w:type="spellEnd"/>
    </w:p>
    <w:p w14:paraId="0731047A" w14:textId="77777777" w:rsidR="00E12BD2" w:rsidRPr="009C003C" w:rsidRDefault="00C76BB8">
      <w:pPr>
        <w:pStyle w:val="Standard1"/>
        <w:spacing w:after="0"/>
        <w:rPr>
          <w:rFonts w:eastAsia="PT Sans" w:cs="PT Sans"/>
          <w:sz w:val="20"/>
          <w:szCs w:val="20"/>
          <w:lang w:val="en-US"/>
        </w:rPr>
      </w:pPr>
      <w:r w:rsidRPr="00C76BB8">
        <w:t xml:space="preserve">Umfangreiche katalytische Tests in den Anlagen von INERATEC haben erfolgreich gezeigt, dass die Katalysatoren von </w:t>
      </w:r>
      <w:proofErr w:type="spellStart"/>
      <w:r w:rsidRPr="00C76BB8">
        <w:t>Zeopore</w:t>
      </w:r>
      <w:proofErr w:type="spellEnd"/>
      <w:r w:rsidRPr="00C76BB8">
        <w:t xml:space="preserve"> traditionelle Diffusions- und Selektivitätsgrenzen konventioneller Zeolithe überwinden. Dadurch erzielt der integrierte Prozess messbare Effizienzgewinne entlang der gesamten Produktionskette:</w:t>
      </w:r>
    </w:p>
    <w:p w14:paraId="1B128A79" w14:textId="77777777" w:rsidR="008D717A" w:rsidRPr="008D717A" w:rsidRDefault="008D717A" w:rsidP="008D717A">
      <w:pPr>
        <w:spacing w:after="0"/>
        <w:rPr>
          <w:sz w:val="10"/>
          <w:szCs w:val="10"/>
          <w:lang w:val="en-US"/>
        </w:rPr>
      </w:pPr>
    </w:p>
    <w:p w14:paraId="7DE0DEB1" w14:textId="77777777" w:rsidR="00E12BD2" w:rsidRPr="009C003C" w:rsidRDefault="00EF7D75" w:rsidP="00EF7D75">
      <w:pPr>
        <w:pStyle w:val="Listenabsatz"/>
        <w:numPr>
          <w:ilvl w:val="0"/>
          <w:numId w:val="11"/>
        </w:numPr>
        <w:rPr>
          <w:rFonts w:eastAsia="PT Sans" w:cs="PT Sans"/>
          <w:sz w:val="20"/>
          <w:szCs w:val="20"/>
          <w:lang w:val="en-US"/>
        </w:rPr>
      </w:pPr>
      <w:r w:rsidRPr="00EF7D75">
        <w:rPr>
          <w:b/>
          <w:bCs/>
        </w:rPr>
        <w:t>Höhere Kohlenstoffnutzung:</w:t>
      </w:r>
      <w:r w:rsidRPr="00EF7D75">
        <w:t xml:space="preserve"> Eine verbesserte Rohstoffausbeute trägt dazu bei, einen größeren Anteil des eingesetzten CO₂ in </w:t>
      </w:r>
      <w:proofErr w:type="gramStart"/>
      <w:r w:rsidRPr="00EF7D75">
        <w:t>Ziel-Kraftstofffraktionen</w:t>
      </w:r>
      <w:proofErr w:type="gramEnd"/>
      <w:r w:rsidRPr="00EF7D75">
        <w:t xml:space="preserve"> statt in unerwünschte Nebenprodukte umzuwandeln. Zudem reduziert der </w:t>
      </w:r>
      <w:proofErr w:type="spellStart"/>
      <w:r w:rsidRPr="00EF7D75">
        <w:t>Zeopore</w:t>
      </w:r>
      <w:proofErr w:type="spellEnd"/>
      <w:r w:rsidRPr="00EF7D75">
        <w:t>-Katalysator die Deaktivierungsraten deutlich, vervielfacht die Katalysatorlebensdauer und hält nahezu vollständige Umwandlungsgrade aufrecht.</w:t>
      </w:r>
    </w:p>
    <w:p w14:paraId="720DD310" w14:textId="77777777" w:rsidR="008C3D7D" w:rsidRPr="008C3D7D" w:rsidRDefault="008C3D7D" w:rsidP="008C3D7D">
      <w:pPr>
        <w:pStyle w:val="Listenabsatz"/>
        <w:ind w:left="284"/>
        <w:rPr>
          <w:sz w:val="16"/>
          <w:szCs w:val="16"/>
          <w:lang w:val="en-US"/>
        </w:rPr>
      </w:pPr>
    </w:p>
    <w:p w14:paraId="24453B77" w14:textId="77777777" w:rsidR="00E12BD2" w:rsidRPr="009C003C" w:rsidRDefault="00317DD4" w:rsidP="00317DD4">
      <w:pPr>
        <w:pStyle w:val="Listenabsatz"/>
        <w:numPr>
          <w:ilvl w:val="0"/>
          <w:numId w:val="11"/>
        </w:numPr>
        <w:rPr>
          <w:rFonts w:eastAsia="PT Sans" w:cs="PT Sans"/>
          <w:sz w:val="20"/>
          <w:szCs w:val="20"/>
          <w:lang w:val="en-US"/>
        </w:rPr>
      </w:pPr>
      <w:r w:rsidRPr="00317DD4">
        <w:rPr>
          <w:b/>
          <w:bCs/>
        </w:rPr>
        <w:t>Niedrigere Betriebstemperatur:</w:t>
      </w:r>
      <w:r w:rsidRPr="00317DD4">
        <w:t xml:space="preserve"> Der </w:t>
      </w:r>
      <w:proofErr w:type="spellStart"/>
      <w:r w:rsidRPr="00317DD4">
        <w:t>Zeopore</w:t>
      </w:r>
      <w:proofErr w:type="spellEnd"/>
      <w:r w:rsidRPr="00317DD4">
        <w:t>-Katalysator ermöglicht den Betrieb bei deutlich niedrigeren Reaktionstemperaturen, spart kostenintensive Energie und reduziert die Prozessschärfe.</w:t>
      </w:r>
    </w:p>
    <w:p w14:paraId="701AA805" w14:textId="77777777" w:rsidR="008C3D7D" w:rsidRPr="008C3D7D" w:rsidRDefault="008C3D7D" w:rsidP="008C3D7D">
      <w:pPr>
        <w:pStyle w:val="Listenabsatz"/>
        <w:ind w:left="284"/>
        <w:rPr>
          <w:sz w:val="16"/>
          <w:szCs w:val="16"/>
          <w:lang w:val="en-US"/>
        </w:rPr>
      </w:pPr>
    </w:p>
    <w:p w14:paraId="4F0F2F26" w14:textId="77777777" w:rsidR="00E12BD2" w:rsidRPr="009C003C" w:rsidRDefault="00125A47" w:rsidP="00125A47">
      <w:pPr>
        <w:pStyle w:val="Listenabsatz"/>
        <w:numPr>
          <w:ilvl w:val="0"/>
          <w:numId w:val="11"/>
        </w:numPr>
        <w:rPr>
          <w:rFonts w:eastAsia="PT Sans" w:cs="PT Sans"/>
          <w:sz w:val="20"/>
          <w:szCs w:val="20"/>
          <w:lang w:val="en-US"/>
        </w:rPr>
      </w:pPr>
      <w:r w:rsidRPr="00125A47">
        <w:rPr>
          <w:b/>
          <w:bCs/>
        </w:rPr>
        <w:t>Reduzierter Wasserstoffverbrauch:</w:t>
      </w:r>
      <w:r w:rsidRPr="00125A47">
        <w:t xml:space="preserve"> Die Minimierung von </w:t>
      </w:r>
      <w:proofErr w:type="spellStart"/>
      <w:r w:rsidRPr="00125A47">
        <w:t>Übercracking</w:t>
      </w:r>
      <w:proofErr w:type="spellEnd"/>
      <w:r w:rsidRPr="00125A47">
        <w:t xml:space="preserve"> senkt den Wasserstoffverbrauch im zweistelligen Prozentbereich und adressiert damit direkt einen der wichtigsten Kostentreiber in der e-Fuels-Produktion.</w:t>
      </w:r>
    </w:p>
    <w:p w14:paraId="7E930446" w14:textId="77777777" w:rsidR="008C3D7D" w:rsidRPr="008C3D7D" w:rsidRDefault="008C3D7D" w:rsidP="008C3D7D">
      <w:pPr>
        <w:pStyle w:val="Listenabsatz"/>
        <w:rPr>
          <w:sz w:val="16"/>
          <w:szCs w:val="16"/>
          <w:lang w:val="en-US"/>
        </w:rPr>
      </w:pPr>
    </w:p>
    <w:p w14:paraId="621603B2" w14:textId="77777777" w:rsidR="00E12BD2" w:rsidRPr="009C003C" w:rsidRDefault="0091193B" w:rsidP="0091193B">
      <w:pPr>
        <w:pStyle w:val="Listenabsatz"/>
        <w:numPr>
          <w:ilvl w:val="0"/>
          <w:numId w:val="11"/>
        </w:numPr>
        <w:rPr>
          <w:rFonts w:eastAsia="PT Sans" w:cs="PT Sans"/>
          <w:sz w:val="20"/>
          <w:szCs w:val="20"/>
          <w:lang w:val="en-US"/>
        </w:rPr>
      </w:pPr>
      <w:r w:rsidRPr="0091193B">
        <w:rPr>
          <w:b/>
          <w:bCs/>
        </w:rPr>
        <w:t>Geringere Nebenproduktbildung:</w:t>
      </w:r>
      <w:r w:rsidRPr="0091193B">
        <w:t xml:space="preserve"> Die verbesserte katalytische Selektivität unterdrückt die Entstehung unerwünschter leichter Gase, vereinfacht den nachgelagerten Prozess und verbessert die Gesamteffizienz.</w:t>
      </w:r>
    </w:p>
    <w:p w14:paraId="2BA291F9" w14:textId="77777777" w:rsidR="008C3D7D" w:rsidRPr="008C3D7D" w:rsidRDefault="008C3D7D" w:rsidP="008D717A">
      <w:pPr>
        <w:pStyle w:val="Listenabsatz"/>
        <w:ind w:left="284"/>
        <w:rPr>
          <w:sz w:val="16"/>
          <w:szCs w:val="16"/>
          <w:lang w:val="en-US"/>
        </w:rPr>
      </w:pPr>
    </w:p>
    <w:p w14:paraId="0133909E" w14:textId="77777777" w:rsidR="0063040B" w:rsidRDefault="000D1E2D">
      <w:pPr>
        <w:pStyle w:val="Listenabsatz"/>
        <w:ind w:left="284" w:hanging="295"/>
      </w:pPr>
      <w:r w:rsidRPr="000D1E2D">
        <w:t xml:space="preserve">•   </w:t>
      </w:r>
      <w:r w:rsidRPr="000D1E2D">
        <w:rPr>
          <w:b/>
          <w:bCs/>
        </w:rPr>
        <w:t>Industrielle Robustheit:</w:t>
      </w:r>
      <w:r w:rsidRPr="000D1E2D">
        <w:t xml:space="preserve"> Die modifizierten Zeolithe von </w:t>
      </w:r>
      <w:proofErr w:type="spellStart"/>
      <w:r w:rsidRPr="000D1E2D">
        <w:t>Zeopore</w:t>
      </w:r>
      <w:proofErr w:type="spellEnd"/>
      <w:r w:rsidRPr="000D1E2D">
        <w:t xml:space="preserve"> haben über längere Betriebszeiträume Stabilität und Wiederverwendbarkeit gezeigt und verbessern damit die langfristige Anlagenleistung und Wirtschaftlichkeit.</w:t>
      </w:r>
    </w:p>
    <w:p w14:paraId="7BCB408A" w14:textId="77777777" w:rsidR="007A35D0" w:rsidRPr="00322703" w:rsidRDefault="007A35D0">
      <w:pPr>
        <w:rPr>
          <w:lang w:val="en-US"/>
        </w:rPr>
      </w:pPr>
    </w:p>
    <w:p w14:paraId="7963EFBF" w14:textId="77777777" w:rsidR="00E12BD2" w:rsidRPr="009C003C" w:rsidRDefault="00E7510A">
      <w:pPr>
        <w:pStyle w:val="Standard1"/>
        <w:rPr>
          <w:rFonts w:eastAsia="PT Sans" w:cs="PT Sans"/>
          <w:sz w:val="20"/>
          <w:szCs w:val="20"/>
          <w:lang w:val="en-US"/>
        </w:rPr>
      </w:pPr>
      <w:r w:rsidRPr="00E7510A">
        <w:rPr>
          <w:b/>
          <w:bCs/>
        </w:rPr>
        <w:t>Tim Böltken, CEO von INERATEC:</w:t>
      </w:r>
      <w:r w:rsidRPr="00E7510A">
        <w:t xml:space="preserve"> </w:t>
      </w:r>
      <w:r w:rsidRPr="00E7510A">
        <w:rPr>
          <w:i/>
          <w:iCs/>
        </w:rPr>
        <w:t xml:space="preserve">„Die Katalysatortechnologie von </w:t>
      </w:r>
      <w:proofErr w:type="spellStart"/>
      <w:r w:rsidRPr="00E7510A">
        <w:rPr>
          <w:i/>
          <w:iCs/>
        </w:rPr>
        <w:t>Zeopore</w:t>
      </w:r>
      <w:proofErr w:type="spellEnd"/>
      <w:r w:rsidRPr="00E7510A">
        <w:rPr>
          <w:i/>
          <w:iCs/>
        </w:rPr>
        <w:t xml:space="preserve"> ergänzt die Prozessinnovation von INERATEC hervorragend. Die Performance des Katalysators ist ein zentraler Baustein für ein hocheffizientes und wettbewerbsfähiges </w:t>
      </w:r>
      <w:proofErr w:type="spellStart"/>
      <w:r w:rsidRPr="00E7510A">
        <w:rPr>
          <w:i/>
          <w:iCs/>
        </w:rPr>
        <w:t>Hydrocracking</w:t>
      </w:r>
      <w:proofErr w:type="spellEnd"/>
      <w:r w:rsidRPr="00E7510A">
        <w:rPr>
          <w:i/>
          <w:iCs/>
        </w:rPr>
        <w:t xml:space="preserve">-Verfahren. Wir freuen uns sehr zu sehen, wie stark die Lösung von </w:t>
      </w:r>
      <w:proofErr w:type="spellStart"/>
      <w:r w:rsidRPr="00E7510A">
        <w:rPr>
          <w:i/>
          <w:iCs/>
        </w:rPr>
        <w:t>Zeopore</w:t>
      </w:r>
      <w:proofErr w:type="spellEnd"/>
      <w:r w:rsidRPr="00E7510A">
        <w:rPr>
          <w:i/>
          <w:iCs/>
        </w:rPr>
        <w:t xml:space="preserve"> unseren eigenen Technologieansatz unterstützt. Gemeinsam treiben wir einen skalierbaren Weg zu einer effizienteren Produktion nachhaltiger, </w:t>
      </w:r>
      <w:proofErr w:type="spellStart"/>
      <w:r w:rsidRPr="00E7510A">
        <w:rPr>
          <w:i/>
          <w:iCs/>
        </w:rPr>
        <w:t>drop</w:t>
      </w:r>
      <w:proofErr w:type="spellEnd"/>
      <w:r w:rsidRPr="00E7510A">
        <w:rPr>
          <w:i/>
          <w:iCs/>
        </w:rPr>
        <w:t>-in-fähiger Kraftstoffe und Chemikalien voran.“</w:t>
      </w:r>
    </w:p>
    <w:p w14:paraId="1105BAA1" w14:textId="77777777" w:rsidR="00322703" w:rsidRDefault="00322703">
      <w:pPr>
        <w:rPr>
          <w:lang w:val="en-US"/>
        </w:rPr>
      </w:pPr>
    </w:p>
    <w:p w14:paraId="48F060D1" w14:textId="77777777" w:rsidR="00E12BD2" w:rsidRPr="009C003C" w:rsidRDefault="00286D5D">
      <w:pPr>
        <w:pStyle w:val="Standard1"/>
        <w:rPr>
          <w:rFonts w:eastAsia="PT Sans" w:cs="PT Sans"/>
          <w:sz w:val="20"/>
          <w:szCs w:val="20"/>
          <w:lang w:val="en-US"/>
        </w:rPr>
      </w:pPr>
      <w:r w:rsidRPr="00286D5D">
        <w:rPr>
          <w:b/>
          <w:bCs/>
        </w:rPr>
        <w:t xml:space="preserve">Kurt Du Mong, CEO von </w:t>
      </w:r>
      <w:proofErr w:type="spellStart"/>
      <w:r w:rsidRPr="00286D5D">
        <w:rPr>
          <w:b/>
          <w:bCs/>
        </w:rPr>
        <w:t>Zeopore</w:t>
      </w:r>
      <w:proofErr w:type="spellEnd"/>
      <w:r w:rsidRPr="00286D5D">
        <w:rPr>
          <w:b/>
          <w:bCs/>
        </w:rPr>
        <w:t>:</w:t>
      </w:r>
      <w:r w:rsidRPr="00286D5D">
        <w:t xml:space="preserve"> </w:t>
      </w:r>
      <w:r w:rsidRPr="00286D5D">
        <w:rPr>
          <w:i/>
          <w:iCs/>
        </w:rPr>
        <w:t>„Unser Ziel ist es, den Preisaufschlag nachhaltiger Kraftstoffproduktion zu reduzieren und ihre Industrialisierung voranzubringen. Zu sehen, welchen erheblichen Mehrwert unsere Meso-Zeolithe für führende Technologien wie INERATECs ERA ONE schaffen, ist äußerst motivierend. Wir sind nun bereit für die Skalierung und laden Partner ein, gemeinsam mit uns die Zukunft nachhaltiger Raffination zu gestalten.“</w:t>
      </w:r>
    </w:p>
    <w:p w14:paraId="3358C343" w14:textId="77777777" w:rsidR="00322703" w:rsidRDefault="00322703">
      <w:pPr>
        <w:rPr>
          <w:lang w:val="en-US"/>
        </w:rPr>
      </w:pPr>
    </w:p>
    <w:p w14:paraId="2F43C0D8" w14:textId="77777777" w:rsidR="00E12BD2" w:rsidRPr="009C003C" w:rsidRDefault="000539D9">
      <w:pPr>
        <w:pStyle w:val="Standard1"/>
        <w:rPr>
          <w:rFonts w:eastAsia="PT Sans" w:cs="PT Sans"/>
          <w:sz w:val="20"/>
          <w:szCs w:val="20"/>
          <w:lang w:val="en-US"/>
        </w:rPr>
      </w:pPr>
      <w:r w:rsidRPr="000539D9">
        <w:t>Mit dieser engen Zusammenarbeit wollen beide Partner die Produktion synthetischer Kraftstoffe effizienter, skalierbarer und wirtschaftlich wettbewerbsfähiger machen. Durch die Beschleunigung der industriellen Skalierung schaffen sie eine belastbare Grundlage für eine bezahlbare, klimafreundliche Energieversorgung.</w:t>
      </w:r>
    </w:p>
    <w:p w14:paraId="70A49122" w14:textId="6DD453F0" w:rsidR="00322703" w:rsidRDefault="00322703" w:rsidP="007A35D0">
      <w:pPr>
        <w:rPr>
          <w:lang w:val="en-US"/>
        </w:rPr>
      </w:pPr>
    </w:p>
    <w:p w14:paraId="1B46DA91" w14:textId="2DBDA0B4" w:rsidR="00525906" w:rsidRDefault="009C6E7C" w:rsidP="00E46824">
      <w:pPr>
        <w:spacing w:line="240" w:lineRule="auto"/>
        <w:jc w:val="center"/>
        <w:rPr>
          <w:b/>
          <w:bCs/>
          <w:lang w:val="en-US"/>
        </w:rPr>
      </w:pPr>
      <w:r>
        <w:rPr>
          <w:b/>
          <w:bCs/>
          <w:noProof/>
          <w:lang w:val="en-US"/>
        </w:rPr>
        <w:drawing>
          <wp:inline distT="0" distB="0" distL="0" distR="0" wp14:anchorId="5ECADA21" wp14:editId="54287C37">
            <wp:extent cx="4972392" cy="3316785"/>
            <wp:effectExtent l="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rotWithShape="1">
                    <a:blip r:embed="rId20" cstate="print">
                      <a:extLst>
                        <a:ext uri="{28A0092B-C50C-407E-A947-70E740481C1C}">
                          <a14:useLocalDpi xmlns:a14="http://schemas.microsoft.com/office/drawing/2010/main" val="0"/>
                        </a:ext>
                      </a:extLst>
                    </a:blip>
                    <a:srcRect l="104" r="213"/>
                    <a:stretch>
                      <a:fillRect/>
                    </a:stretch>
                  </pic:blipFill>
                  <pic:spPr bwMode="auto">
                    <a:xfrm>
                      <a:off x="0" y="0"/>
                      <a:ext cx="4973537" cy="3317549"/>
                    </a:xfrm>
                    <a:prstGeom prst="rect">
                      <a:avLst/>
                    </a:prstGeom>
                    <a:ln>
                      <a:noFill/>
                    </a:ln>
                    <a:extLst>
                      <a:ext uri="{53640926-AAD7-44D8-BBD7-CCE9431645EC}">
                        <a14:shadowObscured xmlns:a14="http://schemas.microsoft.com/office/drawing/2010/main"/>
                      </a:ext>
                    </a:extLst>
                  </pic:spPr>
                </pic:pic>
              </a:graphicData>
            </a:graphic>
          </wp:inline>
        </w:drawing>
      </w:r>
    </w:p>
    <w:p w14:paraId="15F7DECE" w14:textId="77777777" w:rsidR="00656094" w:rsidRDefault="00656094" w:rsidP="00525906">
      <w:pPr>
        <w:rPr>
          <w:b/>
          <w:bCs/>
          <w:lang w:val="en-US"/>
        </w:rPr>
      </w:pPr>
    </w:p>
    <w:p w14:paraId="0D9C2E59" w14:textId="77777777" w:rsidR="00E12BD2" w:rsidRPr="00E41DEA" w:rsidRDefault="00FE3811">
      <w:pPr>
        <w:pStyle w:val="Standard1"/>
        <w:rPr>
          <w:rFonts w:eastAsia="PT Sans" w:cs="PT Sans"/>
          <w:lang w:val="en-US"/>
        </w:rPr>
      </w:pPr>
      <w:r w:rsidRPr="00E41DEA">
        <w:rPr>
          <w:b/>
          <w:bCs/>
        </w:rPr>
        <w:t>ZEOPORE</w:t>
      </w:r>
      <w:r w:rsidRPr="00E41DEA">
        <w:t xml:space="preserve"> ist ein Technologielizenzgeber und Hersteller </w:t>
      </w:r>
      <w:proofErr w:type="spellStart"/>
      <w:r w:rsidRPr="00E41DEA">
        <w:t>mesoporierter</w:t>
      </w:r>
      <w:proofErr w:type="spellEnd"/>
      <w:r w:rsidRPr="00E41DEA">
        <w:t xml:space="preserve"> Zeolithe, </w:t>
      </w:r>
      <w:proofErr w:type="gramStart"/>
      <w:r w:rsidRPr="00E41DEA">
        <w:t>der optimierte katalytische Leistungsfähigkeit</w:t>
      </w:r>
      <w:proofErr w:type="gramEnd"/>
      <w:r w:rsidRPr="00E41DEA">
        <w:t xml:space="preserve"> für Raffinerie-, Petrochemie- sowie nachhaltige Kraftstoff- und Chemikalienprozesse bereitstellt.</w:t>
      </w:r>
    </w:p>
    <w:p w14:paraId="551F9352" w14:textId="77777777" w:rsidR="00E12BD2" w:rsidRPr="00E41DEA" w:rsidRDefault="0091792A">
      <w:pPr>
        <w:pStyle w:val="Standard1"/>
        <w:rPr>
          <w:rFonts w:eastAsia="PT Sans" w:cs="PT Sans"/>
          <w:lang w:val="en-US"/>
        </w:rPr>
      </w:pPr>
      <w:proofErr w:type="spellStart"/>
      <w:r w:rsidRPr="00E41DEA">
        <w:t>Zeopore</w:t>
      </w:r>
      <w:proofErr w:type="spellEnd"/>
      <w:r w:rsidRPr="00E41DEA">
        <w:t xml:space="preserve"> betreibt in Belgien eine halb-industrielle Produktionseinheit und liefert erste industrielle Mengen an den Markt. Derzeit verhandelt </w:t>
      </w:r>
      <w:proofErr w:type="spellStart"/>
      <w:r w:rsidRPr="00E41DEA">
        <w:t>Zeopore</w:t>
      </w:r>
      <w:proofErr w:type="spellEnd"/>
      <w:r w:rsidRPr="00E41DEA">
        <w:t xml:space="preserve"> kommerzielle Verträge mit Katalysatorherstellern und Prozessentwicklern, um einen neuen Maßstab für hochwertige Zeolith-Katalysatoren zu setzen.</w:t>
      </w:r>
    </w:p>
    <w:p w14:paraId="54552C48" w14:textId="77777777" w:rsidR="00E12BD2" w:rsidRPr="00E41DEA" w:rsidRDefault="00BF2375">
      <w:pPr>
        <w:pStyle w:val="Standard1"/>
        <w:rPr>
          <w:rFonts w:eastAsia="PT Sans" w:cs="PT Sans"/>
          <w:lang w:val="en-US"/>
        </w:rPr>
      </w:pPr>
      <w:r w:rsidRPr="00E41DEA">
        <w:t>Die Vorteile seiner Produkte wurden in allen wichtigen Zeolith-</w:t>
      </w:r>
      <w:proofErr w:type="spellStart"/>
      <w:r w:rsidRPr="00E41DEA">
        <w:t>Katalyseprozessen</w:t>
      </w:r>
      <w:proofErr w:type="spellEnd"/>
      <w:r w:rsidRPr="00E41DEA">
        <w:t xml:space="preserve"> nachgewiesen. Sie ermöglichen wirtschaftliche Vorteile von bis zu 15 Millionen Euro pro Raffinerie und Jahr und senken die CO₂-Emissionen um 50 Tonnen pro Kilogramm </w:t>
      </w:r>
      <w:proofErr w:type="gramStart"/>
      <w:r w:rsidRPr="00E41DEA">
        <w:t>eingesetztem Meso-Zeolith</w:t>
      </w:r>
      <w:proofErr w:type="gramEnd"/>
      <w:r w:rsidRPr="00E41DEA">
        <w:t xml:space="preserve">. Weitere Informationen unter </w:t>
      </w:r>
      <w:hyperlink r:id="rId21" w:history="1">
        <w:r w:rsidRPr="00E41DEA">
          <w:rPr>
            <w:rStyle w:val="Hyperlink"/>
            <w:color w:val="0000FF"/>
          </w:rPr>
          <w:t>www.zeopore.com</w:t>
        </w:r>
      </w:hyperlink>
    </w:p>
    <w:p w14:paraId="3AD52DE2" w14:textId="77777777" w:rsidR="00381392" w:rsidRPr="00E41DEA" w:rsidRDefault="00381392" w:rsidP="000671EF">
      <w:pPr>
        <w:rPr>
          <w:rFonts w:eastAsia="PT Sans" w:cs="PT Sans"/>
          <w:b/>
          <w:bCs/>
          <w:lang w:val="en-US"/>
        </w:rPr>
      </w:pPr>
    </w:p>
    <w:p w14:paraId="7291A3B4" w14:textId="77777777" w:rsidR="00E12BD2" w:rsidRPr="00E41DEA" w:rsidRDefault="007A5DE8">
      <w:pPr>
        <w:pStyle w:val="Standard1"/>
        <w:rPr>
          <w:rFonts w:eastAsia="PT Sans" w:cs="PT Sans"/>
          <w:lang w:val="en-US"/>
        </w:rPr>
      </w:pPr>
      <w:r w:rsidRPr="00E41DEA">
        <w:rPr>
          <w:b/>
          <w:bCs/>
        </w:rPr>
        <w:t xml:space="preserve">INERATEC </w:t>
      </w:r>
      <w:r w:rsidRPr="00E41DEA">
        <w:t>ist ein führender europäischer Pionier in der Produktion nachhaltiger e-Fuels und e-Chemicals. Das Unternehmen entwickelt und realisiert modulare, skalierbare Power-</w:t>
      </w:r>
      <w:proofErr w:type="spellStart"/>
      <w:r w:rsidRPr="00E41DEA">
        <w:t>to</w:t>
      </w:r>
      <w:proofErr w:type="spellEnd"/>
      <w:r w:rsidRPr="00E41DEA">
        <w:t xml:space="preserve">-X-Anlagen, die erneuerbaren Wasserstoff und CO₂ in synthetische Kraftstoffe und chemische Produkte umwandeln und so die </w:t>
      </w:r>
      <w:proofErr w:type="spellStart"/>
      <w:r w:rsidRPr="00E41DEA">
        <w:t>Defossilisierung</w:t>
      </w:r>
      <w:proofErr w:type="spellEnd"/>
      <w:r w:rsidRPr="00E41DEA">
        <w:t xml:space="preserve"> von Luftfahrt, Schifffahrt und Chemieindustrie ermöglichen.</w:t>
      </w:r>
    </w:p>
    <w:p w14:paraId="43373926" w14:textId="77777777" w:rsidR="00E12BD2" w:rsidRPr="00E41DEA" w:rsidRDefault="00A40102">
      <w:pPr>
        <w:pStyle w:val="Standard1"/>
        <w:rPr>
          <w:rFonts w:eastAsia="PT Sans" w:cs="PT Sans"/>
          <w:lang w:val="en-US"/>
        </w:rPr>
      </w:pPr>
      <w:r w:rsidRPr="00E41DEA">
        <w:t>Mit ERA ONE hat INERATEC Europas fortschrittlichste e-Fuels-Produktionsanlage in Betrieb genommen und damit einen entscheidenden Schritt hin zur industriellen Verfügbarkeit nachhaltiger Kraftstoffe markiert. Die Technologie ermöglicht eine dezentrale Produktion, stärkt die Energie-Resilienz und unterstützt zugleich Klimaziele.</w:t>
      </w:r>
    </w:p>
    <w:p w14:paraId="3808FABA" w14:textId="77777777" w:rsidR="0063040B" w:rsidRPr="00E41DEA" w:rsidRDefault="00CD73B7">
      <w:pPr>
        <w:pStyle w:val="Standard1"/>
      </w:pPr>
      <w:r w:rsidRPr="00E41DEA">
        <w:lastRenderedPageBreak/>
        <w:t xml:space="preserve">INERATEC wurde 2016 gegründet und hat seinen Hauptsitz in Karlsruhe. Das Unternehmen wird von einer starken Gruppe internationaler Investoren und Partner unterstützt. Weitere Informationen: </w:t>
      </w:r>
      <w:hyperlink r:id="rId22" w:history="1">
        <w:r w:rsidRPr="00E41DEA">
          <w:rPr>
            <w:rStyle w:val="Hyperlink"/>
            <w:color w:val="0000FF"/>
          </w:rPr>
          <w:t>www.ineratec.com</w:t>
        </w:r>
      </w:hyperlink>
    </w:p>
    <w:p w14:paraId="7D8FA39A" w14:textId="3E55A79F" w:rsidR="271E32EF" w:rsidRDefault="271E32EF" w:rsidP="271E32EF">
      <w:pPr>
        <w:rPr>
          <w:rFonts w:eastAsia="PT Sans" w:cs="PT Sans"/>
          <w:b/>
          <w:bCs/>
          <w:lang w:val="en-US"/>
        </w:rPr>
      </w:pPr>
    </w:p>
    <w:p w14:paraId="337689E7" w14:textId="77777777" w:rsidR="00E41DEA" w:rsidRDefault="00E41DEA" w:rsidP="271E32EF">
      <w:pPr>
        <w:rPr>
          <w:rFonts w:eastAsia="PT Sans" w:cs="PT Sans"/>
          <w:b/>
          <w:bCs/>
          <w:lang w:val="en-US"/>
        </w:rPr>
      </w:pPr>
    </w:p>
    <w:p w14:paraId="2A512441" w14:textId="77777777" w:rsidR="00E41DEA" w:rsidRDefault="00E41DEA" w:rsidP="271E32EF">
      <w:pPr>
        <w:rPr>
          <w:rFonts w:eastAsia="PT Sans" w:cs="PT Sans"/>
          <w:b/>
          <w:bCs/>
          <w:lang w:val="en-US"/>
        </w:rPr>
      </w:pPr>
    </w:p>
    <w:p w14:paraId="44E1CE0B" w14:textId="77777777" w:rsidR="00E41DEA" w:rsidRDefault="00E41DEA" w:rsidP="271E32EF">
      <w:pPr>
        <w:rPr>
          <w:rFonts w:eastAsia="PT Sans" w:cs="PT Sans"/>
          <w:b/>
          <w:bCs/>
          <w:lang w:val="en-US"/>
        </w:rPr>
      </w:pPr>
    </w:p>
    <w:p w14:paraId="13BFB800" w14:textId="77777777" w:rsidR="00E41DEA" w:rsidRDefault="00E41DEA" w:rsidP="271E32EF">
      <w:pPr>
        <w:rPr>
          <w:rFonts w:eastAsia="PT Sans" w:cs="PT Sans"/>
          <w:b/>
          <w:bCs/>
          <w:lang w:val="en-US"/>
        </w:rPr>
      </w:pPr>
    </w:p>
    <w:p w14:paraId="29902C3F" w14:textId="77777777" w:rsidR="00E41DEA" w:rsidRDefault="00E41DEA" w:rsidP="271E32EF">
      <w:pPr>
        <w:rPr>
          <w:rFonts w:eastAsia="PT Sans" w:cs="PT Sans"/>
          <w:b/>
          <w:bCs/>
          <w:lang w:val="en-US"/>
        </w:rPr>
      </w:pPr>
    </w:p>
    <w:p w14:paraId="26E3AB24" w14:textId="77777777" w:rsidR="00E41DEA" w:rsidRDefault="00E41DEA" w:rsidP="271E32EF">
      <w:pPr>
        <w:rPr>
          <w:rFonts w:eastAsia="PT Sans" w:cs="PT Sans"/>
          <w:b/>
          <w:bCs/>
          <w:lang w:val="en-US"/>
        </w:rPr>
      </w:pPr>
    </w:p>
    <w:p w14:paraId="58471A94" w14:textId="77777777" w:rsidR="00E41DEA" w:rsidRDefault="00E41DEA" w:rsidP="271E32EF">
      <w:pPr>
        <w:rPr>
          <w:rFonts w:eastAsia="PT Sans" w:cs="PT Sans"/>
          <w:b/>
          <w:bCs/>
          <w:lang w:val="en-US"/>
        </w:rPr>
      </w:pPr>
    </w:p>
    <w:p w14:paraId="5E5FFBCE" w14:textId="77777777" w:rsidR="00E41DEA" w:rsidRDefault="00E41DEA" w:rsidP="271E32EF">
      <w:pPr>
        <w:rPr>
          <w:rFonts w:eastAsia="PT Sans" w:cs="PT Sans"/>
          <w:b/>
          <w:bCs/>
          <w:lang w:val="en-US"/>
        </w:rPr>
      </w:pPr>
    </w:p>
    <w:p w14:paraId="35FD3BBD" w14:textId="77777777" w:rsidR="00E41DEA" w:rsidRDefault="00E41DEA" w:rsidP="271E32EF">
      <w:pPr>
        <w:rPr>
          <w:rFonts w:eastAsia="PT Sans" w:cs="PT Sans"/>
          <w:b/>
          <w:bCs/>
          <w:lang w:val="en-US"/>
        </w:rPr>
      </w:pPr>
    </w:p>
    <w:p w14:paraId="72C5D1C1" w14:textId="77777777" w:rsidR="00E41DEA" w:rsidRDefault="00E41DEA" w:rsidP="271E32EF">
      <w:pPr>
        <w:rPr>
          <w:rFonts w:eastAsia="PT Sans" w:cs="PT Sans"/>
          <w:b/>
          <w:bCs/>
          <w:lang w:val="en-US"/>
        </w:rPr>
      </w:pPr>
    </w:p>
    <w:p w14:paraId="4AC3011F" w14:textId="77777777" w:rsidR="00E41DEA" w:rsidRDefault="00E41DEA" w:rsidP="271E32EF">
      <w:pPr>
        <w:rPr>
          <w:rFonts w:eastAsia="PT Sans" w:cs="PT Sans"/>
          <w:b/>
          <w:bCs/>
          <w:lang w:val="en-US"/>
        </w:rPr>
      </w:pPr>
    </w:p>
    <w:p w14:paraId="711C1A44" w14:textId="77777777" w:rsidR="00E41DEA" w:rsidRDefault="00E41DEA" w:rsidP="271E32EF">
      <w:pPr>
        <w:rPr>
          <w:rFonts w:eastAsia="PT Sans" w:cs="PT Sans"/>
          <w:b/>
          <w:bCs/>
          <w:lang w:val="en-US"/>
        </w:rPr>
      </w:pPr>
    </w:p>
    <w:p w14:paraId="537DC3D0" w14:textId="77777777" w:rsidR="00E41DEA" w:rsidRDefault="00E41DEA" w:rsidP="271E32EF">
      <w:pPr>
        <w:rPr>
          <w:rFonts w:eastAsia="PT Sans" w:cs="PT Sans"/>
          <w:b/>
          <w:bCs/>
          <w:lang w:val="en-US"/>
        </w:rPr>
      </w:pPr>
    </w:p>
    <w:p w14:paraId="66EC08D2" w14:textId="77777777" w:rsidR="00E41DEA" w:rsidRDefault="00E41DEA" w:rsidP="271E32EF">
      <w:pPr>
        <w:rPr>
          <w:rFonts w:eastAsia="PT Sans" w:cs="PT Sans"/>
          <w:b/>
          <w:bCs/>
          <w:lang w:val="en-US"/>
        </w:rPr>
      </w:pPr>
    </w:p>
    <w:p w14:paraId="1A1E584E" w14:textId="77777777" w:rsidR="00E41DEA" w:rsidRDefault="00E41DEA" w:rsidP="271E32EF">
      <w:pPr>
        <w:rPr>
          <w:rFonts w:eastAsia="PT Sans" w:cs="PT Sans"/>
          <w:b/>
          <w:bCs/>
          <w:lang w:val="en-US"/>
        </w:rPr>
      </w:pPr>
    </w:p>
    <w:p w14:paraId="25FD4446" w14:textId="77777777" w:rsidR="00E41DEA" w:rsidRDefault="00E41DEA" w:rsidP="271E32EF">
      <w:pPr>
        <w:rPr>
          <w:rFonts w:eastAsia="PT Sans" w:cs="PT Sans"/>
          <w:b/>
          <w:bCs/>
          <w:lang w:val="en-US"/>
        </w:rPr>
      </w:pPr>
    </w:p>
    <w:p w14:paraId="735C5551" w14:textId="77777777" w:rsidR="00E41DEA" w:rsidRDefault="00E41DEA" w:rsidP="271E32EF">
      <w:pPr>
        <w:rPr>
          <w:rFonts w:eastAsia="PT Sans" w:cs="PT Sans"/>
          <w:b/>
          <w:bCs/>
          <w:lang w:val="en-US"/>
        </w:rPr>
      </w:pPr>
    </w:p>
    <w:p w14:paraId="5382850B" w14:textId="77777777" w:rsidR="00E41DEA" w:rsidRDefault="00E41DEA" w:rsidP="271E32EF">
      <w:pPr>
        <w:rPr>
          <w:rFonts w:eastAsia="PT Sans" w:cs="PT Sans"/>
          <w:b/>
          <w:bCs/>
          <w:lang w:val="en-US"/>
        </w:rPr>
      </w:pPr>
    </w:p>
    <w:p w14:paraId="3FCE09B7" w14:textId="77777777" w:rsidR="00E41DEA" w:rsidRDefault="00E41DEA" w:rsidP="271E32EF">
      <w:pPr>
        <w:rPr>
          <w:rFonts w:eastAsia="PT Sans" w:cs="PT Sans"/>
          <w:b/>
          <w:bCs/>
          <w:lang w:val="en-US"/>
        </w:rPr>
      </w:pPr>
    </w:p>
    <w:p w14:paraId="5F23FEFC" w14:textId="77777777" w:rsidR="00E41DEA" w:rsidRDefault="00E41DEA" w:rsidP="271E32EF">
      <w:pPr>
        <w:rPr>
          <w:rFonts w:eastAsia="PT Sans" w:cs="PT Sans"/>
          <w:b/>
          <w:bCs/>
          <w:lang w:val="en-US"/>
        </w:rPr>
      </w:pPr>
    </w:p>
    <w:p w14:paraId="4BE20D1B" w14:textId="77777777" w:rsidR="00E41DEA" w:rsidRDefault="00E41DEA" w:rsidP="271E32EF">
      <w:pPr>
        <w:rPr>
          <w:rFonts w:eastAsia="PT Sans" w:cs="PT Sans"/>
          <w:b/>
          <w:bCs/>
          <w:lang w:val="en-US"/>
        </w:rPr>
      </w:pPr>
    </w:p>
    <w:p w14:paraId="1B5F7D85" w14:textId="77777777" w:rsidR="00E41DEA" w:rsidRDefault="00E41DEA" w:rsidP="271E32EF">
      <w:pPr>
        <w:rPr>
          <w:rFonts w:eastAsia="PT Sans" w:cs="PT Sans"/>
          <w:b/>
          <w:bCs/>
          <w:lang w:val="en-US"/>
        </w:rPr>
      </w:pPr>
    </w:p>
    <w:p w14:paraId="10B78232" w14:textId="77777777" w:rsidR="00E41DEA" w:rsidRDefault="00E41DEA" w:rsidP="271E32EF">
      <w:pPr>
        <w:rPr>
          <w:rFonts w:eastAsia="PT Sans" w:cs="PT Sans"/>
          <w:b/>
          <w:bCs/>
          <w:lang w:val="en-US"/>
        </w:rPr>
      </w:pPr>
    </w:p>
    <w:p w14:paraId="0826D765" w14:textId="77777777" w:rsidR="00E41DEA" w:rsidRDefault="00E41DEA" w:rsidP="271E32EF">
      <w:pPr>
        <w:rPr>
          <w:rFonts w:eastAsia="PT Sans" w:cs="PT Sans"/>
          <w:b/>
          <w:bCs/>
          <w:lang w:val="en-US"/>
        </w:rPr>
      </w:pPr>
    </w:p>
    <w:p w14:paraId="0F675DAF" w14:textId="77777777" w:rsidR="00E41DEA" w:rsidRPr="00322703" w:rsidRDefault="00E41DEA" w:rsidP="271E32EF">
      <w:pPr>
        <w:rPr>
          <w:rFonts w:eastAsia="PT Sans" w:cs="PT Sans"/>
          <w:b/>
          <w:bCs/>
          <w:lang w:val="en-US"/>
        </w:rPr>
      </w:pPr>
    </w:p>
    <w:p w14:paraId="568E9931" w14:textId="77777777" w:rsidR="00E12BD2" w:rsidRPr="009C003C" w:rsidRDefault="00431A40">
      <w:pPr>
        <w:pStyle w:val="Standard1"/>
        <w:rPr>
          <w:rFonts w:eastAsia="PT Sans" w:cs="PT Sans"/>
          <w:sz w:val="20"/>
          <w:szCs w:val="20"/>
          <w:lang w:val="en-US"/>
        </w:rPr>
      </w:pPr>
      <w:r w:rsidRPr="00431A40">
        <w:rPr>
          <w:b/>
          <w:bCs/>
        </w:rPr>
        <w:t>Pressekontakt</w:t>
      </w:r>
    </w:p>
    <w:p w14:paraId="74DB8005" w14:textId="77777777" w:rsidR="00E12BD2" w:rsidRPr="009C003C" w:rsidRDefault="00EA266F">
      <w:pPr>
        <w:pStyle w:val="Standard1"/>
        <w:jc w:val="left"/>
        <w:rPr>
          <w:rFonts w:eastAsia="PT Sans" w:cs="PT Sans"/>
          <w:sz w:val="20"/>
          <w:szCs w:val="20"/>
          <w:lang w:val="en-US"/>
        </w:rPr>
      </w:pPr>
      <w:r w:rsidRPr="00C74994">
        <w:rPr>
          <w:sz w:val="20"/>
          <w:szCs w:val="20"/>
        </w:rPr>
        <w:t>INERATEC GMBH</w:t>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proofErr w:type="spellStart"/>
      <w:r w:rsidRPr="00C74994">
        <w:rPr>
          <w:sz w:val="20"/>
          <w:szCs w:val="20"/>
        </w:rPr>
        <w:t>Zeopore</w:t>
      </w:r>
      <w:proofErr w:type="spellEnd"/>
      <w:r w:rsidRPr="00C74994">
        <w:rPr>
          <w:sz w:val="20"/>
          <w:szCs w:val="20"/>
        </w:rPr>
        <w:t xml:space="preserve"> Technologies NV</w:t>
      </w:r>
      <w:r w:rsidRPr="00C74994">
        <w:rPr>
          <w:sz w:val="20"/>
          <w:szCs w:val="20"/>
        </w:rPr>
        <w:br/>
        <w:t>Mario Pistorius</w:t>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sidRPr="00C74994">
        <w:rPr>
          <w:sz w:val="20"/>
          <w:szCs w:val="20"/>
        </w:rPr>
        <w:t>Rob Snoeijs, Communications</w:t>
      </w:r>
      <w:r w:rsidRPr="00C74994">
        <w:rPr>
          <w:sz w:val="20"/>
          <w:szCs w:val="20"/>
        </w:rPr>
        <w:br/>
        <w:t>+49 173 686 09 63</w:t>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sidRPr="00C74994">
        <w:rPr>
          <w:sz w:val="20"/>
          <w:szCs w:val="20"/>
        </w:rPr>
        <w:t>+32 499 33 14 14</w:t>
      </w:r>
      <w:r w:rsidRPr="00C74994">
        <w:rPr>
          <w:sz w:val="20"/>
          <w:szCs w:val="20"/>
        </w:rPr>
        <w:br/>
      </w:r>
      <w:hyperlink r:id="rId23" w:history="1">
        <w:r w:rsidR="00E12BD2" w:rsidRPr="00C74994">
          <w:rPr>
            <w:rStyle w:val="Hyperlink"/>
            <w:color w:val="0000FF"/>
            <w:sz w:val="20"/>
            <w:szCs w:val="20"/>
          </w:rPr>
          <w:t>mario.pistorius@ineratec.de</w:t>
        </w:r>
      </w:hyperlink>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r>
        <w:rPr>
          <w:rFonts w:eastAsia="PT Sans" w:cs="PT Sans"/>
          <w:sz w:val="20"/>
          <w:szCs w:val="20"/>
          <w:lang w:val="en-US"/>
        </w:rPr>
        <w:tab/>
      </w:r>
      <w:hyperlink r:id="rId24" w:history="1">
        <w:r w:rsidR="00E12BD2" w:rsidRPr="00C74994">
          <w:rPr>
            <w:rStyle w:val="Hyperlink"/>
            <w:color w:val="0000FF"/>
            <w:sz w:val="20"/>
            <w:szCs w:val="20"/>
          </w:rPr>
          <w:t>rob.snoeijs@zeopore.com</w:t>
        </w:r>
      </w:hyperlink>
    </w:p>
    <w:sectPr w:rsidR="00E12BD2" w:rsidRPr="009C003C" w:rsidSect="00D81A89">
      <w:pgSz w:w="11900" w:h="16840"/>
      <w:pgMar w:top="1843" w:right="1418" w:bottom="1134" w:left="1418" w:header="567"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019271" w14:textId="77777777" w:rsidR="00B01538" w:rsidRDefault="00B01538">
      <w:pPr>
        <w:spacing w:after="0" w:line="240" w:lineRule="auto"/>
      </w:pPr>
      <w:r>
        <w:separator/>
      </w:r>
    </w:p>
  </w:endnote>
  <w:endnote w:type="continuationSeparator" w:id="0">
    <w:p w14:paraId="25F91191" w14:textId="77777777" w:rsidR="00B01538" w:rsidRDefault="00B01538">
      <w:pPr>
        <w:spacing w:after="0" w:line="240" w:lineRule="auto"/>
      </w:pPr>
      <w:r>
        <w:continuationSeparator/>
      </w:r>
    </w:p>
  </w:endnote>
  <w:endnote w:type="continuationNotice" w:id="1">
    <w:p w14:paraId="78622687" w14:textId="77777777" w:rsidR="00B01538" w:rsidRDefault="00B01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PT Sans">
    <w:panose1 w:val="020B0503020203020204"/>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altName w:val="Sylfaen"/>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89103" w14:textId="77777777" w:rsidR="002E3A6B" w:rsidRDefault="002E3A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eastAsia="PT Sans" w:cs="PT Sans"/>
        <w:sz w:val="16"/>
        <w:szCs w:val="16"/>
      </w:rPr>
      <w:t xml:space="preserve">Siemensallee 84          </w:t>
    </w:r>
    <w:r>
      <w:rPr>
        <w:rFonts w:eastAsia="PT Sans" w:cs="PT Sans"/>
        <w:b/>
        <w:sz w:val="16"/>
        <w:szCs w:val="16"/>
      </w:rPr>
      <w:t xml:space="preserve"> </w:t>
    </w:r>
    <w:proofErr w:type="gramStart"/>
    <w:r>
      <w:rPr>
        <w:rFonts w:eastAsia="PT Sans" w:cs="PT Sans"/>
        <w:b/>
        <w:sz w:val="16"/>
        <w:szCs w:val="16"/>
      </w:rPr>
      <w:t xml:space="preserve">T  </w:t>
    </w:r>
    <w:r>
      <w:rPr>
        <w:rFonts w:eastAsia="PT Sans" w:cs="PT Sans"/>
        <w:sz w:val="16"/>
        <w:szCs w:val="16"/>
      </w:rPr>
      <w:t>+</w:t>
    </w:r>
    <w:proofErr w:type="gramEnd"/>
    <w:r>
      <w:rPr>
        <w:rFonts w:eastAsia="PT Sans" w:cs="PT Sans"/>
        <w:sz w:val="16"/>
        <w:szCs w:val="16"/>
      </w:rPr>
      <w:t>49 721 864 844 60</w:t>
    </w:r>
    <w:r>
      <w:tab/>
    </w:r>
    <w:r>
      <w:br/>
    </w:r>
    <w:r>
      <w:rPr>
        <w:rFonts w:eastAsia="PT Sans" w:cs="PT Sans"/>
        <w:sz w:val="16"/>
        <w:szCs w:val="16"/>
      </w:rPr>
      <w:t xml:space="preserve">76187 Karlsruhe           </w:t>
    </w:r>
    <w:proofErr w:type="gramStart"/>
    <w:r>
      <w:rPr>
        <w:rFonts w:eastAsia="PT Sans" w:cs="PT Sans"/>
        <w:b/>
        <w:sz w:val="16"/>
        <w:szCs w:val="16"/>
      </w:rPr>
      <w:t>M</w:t>
    </w:r>
    <w:r>
      <w:rPr>
        <w:rFonts w:eastAsia="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238188848" name="image3.png">
            <a:extLst xmlns:a="http://schemas.openxmlformats.org/drawingml/2006/main">
              <a:ext uri="{FF2B5EF4-FFF2-40B4-BE49-F238E27FC236}">
                <a16:creationId xmlns:a16="http://schemas.microsoft.com/office/drawing/2014/main" id="{9B63341D-635D-495E-B015-4E07F38A2A00}"/>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6789E4" w14:textId="77777777" w:rsidR="002E3A6B" w:rsidRDefault="002E3A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3F0649" w14:textId="77777777" w:rsidR="00B01538" w:rsidRDefault="00B01538">
      <w:pPr>
        <w:spacing w:after="0" w:line="240" w:lineRule="auto"/>
      </w:pPr>
      <w:r>
        <w:separator/>
      </w:r>
    </w:p>
  </w:footnote>
  <w:footnote w:type="continuationSeparator" w:id="0">
    <w:p w14:paraId="4A881FE6" w14:textId="77777777" w:rsidR="00B01538" w:rsidRDefault="00B01538">
      <w:pPr>
        <w:spacing w:after="0" w:line="240" w:lineRule="auto"/>
      </w:pPr>
      <w:r>
        <w:continuationSeparator/>
      </w:r>
    </w:p>
  </w:footnote>
  <w:footnote w:type="continuationNotice" w:id="1">
    <w:p w14:paraId="23EAF153" w14:textId="77777777" w:rsidR="00B01538" w:rsidRDefault="00B01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9E1AD2" w14:textId="77777777" w:rsidR="002E3A6B" w:rsidRDefault="002E3A6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8" w14:textId="3034DB46" w:rsidR="00E12BD2" w:rsidRDefault="00FE3FB2" w:rsidP="00A82D95">
    <w:pPr>
      <w:pBdr>
        <w:top w:val="nil"/>
        <w:left w:val="nil"/>
        <w:bottom w:val="nil"/>
        <w:right w:val="nil"/>
        <w:between w:val="nil"/>
      </w:pBdr>
      <w:tabs>
        <w:tab w:val="center" w:pos="4536"/>
        <w:tab w:val="right" w:pos="9072"/>
      </w:tabs>
      <w:spacing w:after="0" w:line="240" w:lineRule="auto"/>
      <w:jc w:val="center"/>
    </w:pPr>
    <w:r>
      <w:rPr>
        <w:noProof/>
      </w:rPr>
      <mc:AlternateContent>
        <mc:Choice Requires="wps">
          <w:drawing>
            <wp:anchor distT="0" distB="0" distL="114300" distR="114300" simplePos="0" relativeHeight="251660288" behindDoc="0" locked="0" layoutInCell="1" allowOverlap="1" wp14:anchorId="76CCCC31" wp14:editId="5F95AB43">
              <wp:simplePos x="0" y="0"/>
              <wp:positionH relativeFrom="column">
                <wp:posOffset>2682219</wp:posOffset>
              </wp:positionH>
              <wp:positionV relativeFrom="paragraph">
                <wp:posOffset>-165173</wp:posOffset>
              </wp:positionV>
              <wp:extent cx="0" cy="771994"/>
              <wp:effectExtent l="0" t="0" r="12700" b="15875"/>
              <wp:wrapNone/>
              <wp:docPr id="1901544519" name="Gerade Verbindung 4"/>
              <wp:cNvGraphicFramePr/>
              <a:graphic xmlns:a="http://schemas.openxmlformats.org/drawingml/2006/main">
                <a:graphicData uri="http://schemas.microsoft.com/office/word/2010/wordprocessingShape">
                  <wps:wsp>
                    <wps:cNvCnPr/>
                    <wps:spPr>
                      <a:xfrm>
                        <a:off x="0" y="0"/>
                        <a:ext cx="0" cy="771994"/>
                      </a:xfrm>
                      <a:prstGeom prst="line">
                        <a:avLst/>
                      </a:prstGeom>
                      <a:noFill/>
                      <a:ln w="12700" cap="flat">
                        <a:solidFill>
                          <a:schemeClr val="accent1"/>
                        </a:solidFill>
                        <a:prstDash val="solid"/>
                        <a:miter lim="800000"/>
                      </a:ln>
                      <a:effectLst/>
                      <a:sp3d/>
                    </wps:spPr>
                    <wps:style>
                      <a:lnRef idx="0">
                        <a:scrgbClr r="0" g="0" b="0"/>
                      </a:lnRef>
                      <a:fillRef idx="0">
                        <a:scrgbClr r="0" g="0" b="0"/>
                      </a:fillRef>
                      <a:effectRef idx="0">
                        <a:scrgbClr r="0" g="0" b="0"/>
                      </a:effectRef>
                      <a:fontRef idx="none"/>
                    </wps:style>
                    <wps:bodyPr/>
                  </wps:wsp>
                </a:graphicData>
              </a:graphic>
            </wp:anchor>
          </w:drawing>
        </mc:Choice>
        <mc:Fallback>
          <w:pict>
            <v:line w14:anchorId="3E0AC9D4" id="Gerade Verbindung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1.2pt,-13pt" to="211.2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" strokecolor="#4472c4 [3204]" strokeweight="1pt">
              <v:stroke joinstyle="miter"/>
            </v:line>
          </w:pict>
        </mc:Fallback>
      </mc:AlternateContent>
    </w:r>
    <w:r>
      <w:rPr>
        <w:noProof/>
      </w:rPr>
      <w:drawing>
        <wp:anchor distT="0" distB="0" distL="114300" distR="114300" simplePos="0" relativeHeight="251659264" behindDoc="0" locked="0" layoutInCell="1" allowOverlap="1" wp14:anchorId="30740FEC" wp14:editId="47359C63">
          <wp:simplePos x="0" y="0"/>
          <wp:positionH relativeFrom="column">
            <wp:posOffset>1467485</wp:posOffset>
          </wp:positionH>
          <wp:positionV relativeFrom="page">
            <wp:posOffset>360045</wp:posOffset>
          </wp:positionV>
          <wp:extent cx="1122680" cy="460375"/>
          <wp:effectExtent l="0" t="0" r="0" b="0"/>
          <wp:wrapNone/>
          <wp:docPr id="9344071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386157" name="Grafik 1055386157"/>
                  <pic:cNvPicPr/>
                </pic:nvPicPr>
                <pic:blipFill>
                  <a:blip r:embed="rId1">
                    <a:extLst>
                      <a:ext uri="{28A0092B-C50C-407E-A947-70E740481C1C}">
                        <a14:useLocalDpi xmlns:a14="http://schemas.microsoft.com/office/drawing/2010/main" val="0"/>
                      </a:ext>
                    </a:extLst>
                  </a:blip>
                  <a:stretch>
                    <a:fillRect/>
                  </a:stretch>
                </pic:blipFill>
                <pic:spPr>
                  <a:xfrm>
                    <a:off x="0" y="0"/>
                    <a:ext cx="1122680" cy="4603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7C087FD4" wp14:editId="202533C1">
          <wp:simplePos x="0" y="0"/>
          <wp:positionH relativeFrom="column">
            <wp:posOffset>2772327</wp:posOffset>
          </wp:positionH>
          <wp:positionV relativeFrom="page">
            <wp:posOffset>360045</wp:posOffset>
          </wp:positionV>
          <wp:extent cx="1760400" cy="468000"/>
          <wp:effectExtent l="0" t="0" r="5080" b="1905"/>
          <wp:wrapNone/>
          <wp:docPr id="18509409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94096" name="Grafik 185094096"/>
                  <pic:cNvPicPr/>
                </pic:nvPicPr>
                <pic:blipFill>
                  <a:blip r:embed="rId2">
                    <a:extLst>
                      <a:ext uri="{28A0092B-C50C-407E-A947-70E740481C1C}">
                        <a14:useLocalDpi xmlns:a14="http://schemas.microsoft.com/office/drawing/2010/main" val="0"/>
                      </a:ext>
                    </a:extLst>
                  </a:blip>
                  <a:stretch>
                    <a:fillRect/>
                  </a:stretch>
                </pic:blipFill>
                <pic:spPr>
                  <a:xfrm>
                    <a:off x="0" y="0"/>
                    <a:ext cx="1760400" cy="4680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837081" w14:textId="77777777" w:rsidR="002E3A6B" w:rsidRDefault="002E3A6B">
    <w:pPr>
      <w:pStyle w:val="Kopfzeile"/>
    </w:pPr>
  </w:p>
</w:hdr>
</file>

<file path=word/intelligence2.xml><?xml version="1.0" encoding="utf-8"?>
<int2:intelligence xmlns:int2="http://schemas.microsoft.com/office/intelligence/2020/intelligence" xmlns:oel="http://schemas.microsoft.com/office/2019/extlst">
  <int2:observations>
    <int2:textHash int2:hashCode="hbyGBr2UPfgi6T" int2:id="1zeE6vUr">
      <int2:state int2:value="Rejected" int2:type="spell"/>
    </int2:textHash>
    <int2:textHash int2:hashCode="TyCJ/Q7hSY8Eli" int2:id="Navvspc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293D9D"/>
    <w:multiLevelType w:val="multilevel"/>
    <w:tmpl w:val="DB90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D2C1D"/>
    <w:multiLevelType w:val="multilevel"/>
    <w:tmpl w:val="2654F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B5C85"/>
    <w:multiLevelType w:val="hybridMultilevel"/>
    <w:tmpl w:val="6BB69F3E"/>
    <w:lvl w:ilvl="0" w:tplc="AD2C105C">
      <w:start w:val="1"/>
      <w:numFmt w:val="bullet"/>
      <w:lvlText w:val=""/>
      <w:lvlJc w:val="left"/>
      <w:pPr>
        <w:ind w:left="1080" w:hanging="360"/>
      </w:pPr>
      <w:rPr>
        <w:rFonts w:ascii="Symbol" w:hAnsi="Symbol"/>
      </w:rPr>
    </w:lvl>
    <w:lvl w:ilvl="1" w:tplc="F98E3FD2">
      <w:start w:val="1"/>
      <w:numFmt w:val="bullet"/>
      <w:lvlText w:val=""/>
      <w:lvlJc w:val="left"/>
      <w:pPr>
        <w:ind w:left="1080" w:hanging="360"/>
      </w:pPr>
      <w:rPr>
        <w:rFonts w:ascii="Symbol" w:hAnsi="Symbol"/>
      </w:rPr>
    </w:lvl>
    <w:lvl w:ilvl="2" w:tplc="A6522EF4">
      <w:start w:val="1"/>
      <w:numFmt w:val="bullet"/>
      <w:lvlText w:val=""/>
      <w:lvlJc w:val="left"/>
      <w:pPr>
        <w:ind w:left="1080" w:hanging="360"/>
      </w:pPr>
      <w:rPr>
        <w:rFonts w:ascii="Symbol" w:hAnsi="Symbol"/>
      </w:rPr>
    </w:lvl>
    <w:lvl w:ilvl="3" w:tplc="A22AD86A">
      <w:start w:val="1"/>
      <w:numFmt w:val="bullet"/>
      <w:lvlText w:val=""/>
      <w:lvlJc w:val="left"/>
      <w:pPr>
        <w:ind w:left="1080" w:hanging="360"/>
      </w:pPr>
      <w:rPr>
        <w:rFonts w:ascii="Symbol" w:hAnsi="Symbol"/>
      </w:rPr>
    </w:lvl>
    <w:lvl w:ilvl="4" w:tplc="DFC88DCC">
      <w:start w:val="1"/>
      <w:numFmt w:val="bullet"/>
      <w:lvlText w:val=""/>
      <w:lvlJc w:val="left"/>
      <w:pPr>
        <w:ind w:left="1080" w:hanging="360"/>
      </w:pPr>
      <w:rPr>
        <w:rFonts w:ascii="Symbol" w:hAnsi="Symbol"/>
      </w:rPr>
    </w:lvl>
    <w:lvl w:ilvl="5" w:tplc="3F0E46FC">
      <w:start w:val="1"/>
      <w:numFmt w:val="bullet"/>
      <w:lvlText w:val=""/>
      <w:lvlJc w:val="left"/>
      <w:pPr>
        <w:ind w:left="1080" w:hanging="360"/>
      </w:pPr>
      <w:rPr>
        <w:rFonts w:ascii="Symbol" w:hAnsi="Symbol"/>
      </w:rPr>
    </w:lvl>
    <w:lvl w:ilvl="6" w:tplc="9ABEECFC">
      <w:start w:val="1"/>
      <w:numFmt w:val="bullet"/>
      <w:lvlText w:val=""/>
      <w:lvlJc w:val="left"/>
      <w:pPr>
        <w:ind w:left="1080" w:hanging="360"/>
      </w:pPr>
      <w:rPr>
        <w:rFonts w:ascii="Symbol" w:hAnsi="Symbol"/>
      </w:rPr>
    </w:lvl>
    <w:lvl w:ilvl="7" w:tplc="0DA489E2">
      <w:start w:val="1"/>
      <w:numFmt w:val="bullet"/>
      <w:lvlText w:val=""/>
      <w:lvlJc w:val="left"/>
      <w:pPr>
        <w:ind w:left="1080" w:hanging="360"/>
      </w:pPr>
      <w:rPr>
        <w:rFonts w:ascii="Symbol" w:hAnsi="Symbol"/>
      </w:rPr>
    </w:lvl>
    <w:lvl w:ilvl="8" w:tplc="049C45BE">
      <w:start w:val="1"/>
      <w:numFmt w:val="bullet"/>
      <w:lvlText w:val=""/>
      <w:lvlJc w:val="left"/>
      <w:pPr>
        <w:ind w:left="1080" w:hanging="360"/>
      </w:pPr>
      <w:rPr>
        <w:rFonts w:ascii="Symbol" w:hAnsi="Symbol"/>
      </w:rPr>
    </w:lvl>
  </w:abstractNum>
  <w:abstractNum w:abstractNumId="3" w15:restartNumberingAfterBreak="0">
    <w:nsid w:val="15EB1C95"/>
    <w:multiLevelType w:val="multilevel"/>
    <w:tmpl w:val="6446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E3B8F8"/>
    <w:multiLevelType w:val="multilevel"/>
    <w:tmpl w:val="B20634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F1520D"/>
    <w:multiLevelType w:val="multilevel"/>
    <w:tmpl w:val="E8D24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C0F0D"/>
    <w:multiLevelType w:val="multilevel"/>
    <w:tmpl w:val="25B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301D4"/>
    <w:multiLevelType w:val="multilevel"/>
    <w:tmpl w:val="8D54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47E37"/>
    <w:multiLevelType w:val="hybridMultilevel"/>
    <w:tmpl w:val="9AEE3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C36B8C"/>
    <w:multiLevelType w:val="hybridMultilevel"/>
    <w:tmpl w:val="70947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155EFA"/>
    <w:multiLevelType w:val="hybridMultilevel"/>
    <w:tmpl w:val="F2FA0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777FC5"/>
    <w:multiLevelType w:val="hybridMultilevel"/>
    <w:tmpl w:val="EAA67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7D118A"/>
    <w:multiLevelType w:val="multilevel"/>
    <w:tmpl w:val="4182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C95765"/>
    <w:multiLevelType w:val="multilevel"/>
    <w:tmpl w:val="2682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BA1E01"/>
    <w:multiLevelType w:val="hybridMultilevel"/>
    <w:tmpl w:val="A43C1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6DD968F7"/>
    <w:multiLevelType w:val="hybridMultilevel"/>
    <w:tmpl w:val="8DB8433E"/>
    <w:lvl w:ilvl="0" w:tplc="F86C09FA">
      <w:numFmt w:val="bullet"/>
      <w:lvlText w:val="•"/>
      <w:lvlJc w:val="left"/>
      <w:pPr>
        <w:ind w:left="1080" w:hanging="720"/>
      </w:pPr>
      <w:rPr>
        <w:rFonts w:ascii="PT Sans" w:eastAsia="Calibri" w:hAnsi="PT San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144992"/>
    <w:multiLevelType w:val="hybridMultilevel"/>
    <w:tmpl w:val="86D2C7D2"/>
    <w:lvl w:ilvl="0" w:tplc="6FAC8C38">
      <w:start w:val="1"/>
      <w:numFmt w:val="bullet"/>
      <w:lvlText w:val=""/>
      <w:lvlJc w:val="left"/>
      <w:pPr>
        <w:ind w:left="720" w:hanging="360"/>
      </w:pPr>
      <w:rPr>
        <w:rFonts w:ascii="Symbol" w:hAnsi="Symbol" w:hint="default"/>
      </w:rPr>
    </w:lvl>
    <w:lvl w:ilvl="1" w:tplc="DA8848FC">
      <w:start w:val="1"/>
      <w:numFmt w:val="bullet"/>
      <w:lvlText w:val="o"/>
      <w:lvlJc w:val="left"/>
      <w:pPr>
        <w:ind w:left="1440" w:hanging="360"/>
      </w:pPr>
      <w:rPr>
        <w:rFonts w:ascii="Courier New" w:hAnsi="Courier New" w:hint="default"/>
      </w:rPr>
    </w:lvl>
    <w:lvl w:ilvl="2" w:tplc="3FE4601A">
      <w:start w:val="1"/>
      <w:numFmt w:val="bullet"/>
      <w:lvlText w:val=""/>
      <w:lvlJc w:val="left"/>
      <w:pPr>
        <w:ind w:left="2160" w:hanging="360"/>
      </w:pPr>
      <w:rPr>
        <w:rFonts w:ascii="Wingdings" w:hAnsi="Wingdings" w:hint="default"/>
      </w:rPr>
    </w:lvl>
    <w:lvl w:ilvl="3" w:tplc="2D8017BE">
      <w:start w:val="1"/>
      <w:numFmt w:val="bullet"/>
      <w:lvlText w:val=""/>
      <w:lvlJc w:val="left"/>
      <w:pPr>
        <w:ind w:left="2880" w:hanging="360"/>
      </w:pPr>
      <w:rPr>
        <w:rFonts w:ascii="Symbol" w:hAnsi="Symbol" w:hint="default"/>
      </w:rPr>
    </w:lvl>
    <w:lvl w:ilvl="4" w:tplc="22C09AE2">
      <w:start w:val="1"/>
      <w:numFmt w:val="bullet"/>
      <w:lvlText w:val="o"/>
      <w:lvlJc w:val="left"/>
      <w:pPr>
        <w:ind w:left="3600" w:hanging="360"/>
      </w:pPr>
      <w:rPr>
        <w:rFonts w:ascii="Courier New" w:hAnsi="Courier New" w:hint="default"/>
      </w:rPr>
    </w:lvl>
    <w:lvl w:ilvl="5" w:tplc="6400C258">
      <w:start w:val="1"/>
      <w:numFmt w:val="bullet"/>
      <w:lvlText w:val=""/>
      <w:lvlJc w:val="left"/>
      <w:pPr>
        <w:ind w:left="4320" w:hanging="360"/>
      </w:pPr>
      <w:rPr>
        <w:rFonts w:ascii="Wingdings" w:hAnsi="Wingdings" w:hint="default"/>
      </w:rPr>
    </w:lvl>
    <w:lvl w:ilvl="6" w:tplc="43A211EE">
      <w:start w:val="1"/>
      <w:numFmt w:val="bullet"/>
      <w:lvlText w:val=""/>
      <w:lvlJc w:val="left"/>
      <w:pPr>
        <w:ind w:left="5040" w:hanging="360"/>
      </w:pPr>
      <w:rPr>
        <w:rFonts w:ascii="Symbol" w:hAnsi="Symbol" w:hint="default"/>
      </w:rPr>
    </w:lvl>
    <w:lvl w:ilvl="7" w:tplc="17DE0A50">
      <w:start w:val="1"/>
      <w:numFmt w:val="bullet"/>
      <w:lvlText w:val="o"/>
      <w:lvlJc w:val="left"/>
      <w:pPr>
        <w:ind w:left="5760" w:hanging="360"/>
      </w:pPr>
      <w:rPr>
        <w:rFonts w:ascii="Courier New" w:hAnsi="Courier New" w:hint="default"/>
      </w:rPr>
    </w:lvl>
    <w:lvl w:ilvl="8" w:tplc="02A00E2E">
      <w:start w:val="1"/>
      <w:numFmt w:val="bullet"/>
      <w:lvlText w:val=""/>
      <w:lvlJc w:val="left"/>
      <w:pPr>
        <w:ind w:left="6480" w:hanging="360"/>
      </w:pPr>
      <w:rPr>
        <w:rFonts w:ascii="Wingdings" w:hAnsi="Wingdings" w:hint="default"/>
      </w:rPr>
    </w:lvl>
  </w:abstractNum>
  <w:abstractNum w:abstractNumId="18" w15:restartNumberingAfterBreak="0">
    <w:nsid w:val="7EC10B54"/>
    <w:multiLevelType w:val="hybridMultilevel"/>
    <w:tmpl w:val="9E7800BA"/>
    <w:lvl w:ilvl="0" w:tplc="5F62A5F8">
      <w:start w:val="1"/>
      <w:numFmt w:val="bullet"/>
      <w:lvlText w:val=""/>
      <w:lvlJc w:val="left"/>
      <w:pPr>
        <w:ind w:left="720" w:hanging="360"/>
      </w:pPr>
      <w:rPr>
        <w:rFonts w:ascii="Symbol" w:hAnsi="Symbol"/>
      </w:rPr>
    </w:lvl>
    <w:lvl w:ilvl="1" w:tplc="8856D1C2">
      <w:start w:val="1"/>
      <w:numFmt w:val="bullet"/>
      <w:lvlText w:val=""/>
      <w:lvlJc w:val="left"/>
      <w:pPr>
        <w:ind w:left="720" w:hanging="360"/>
      </w:pPr>
      <w:rPr>
        <w:rFonts w:ascii="Symbol" w:hAnsi="Symbol"/>
      </w:rPr>
    </w:lvl>
    <w:lvl w:ilvl="2" w:tplc="BA340C8E">
      <w:start w:val="1"/>
      <w:numFmt w:val="bullet"/>
      <w:lvlText w:val=""/>
      <w:lvlJc w:val="left"/>
      <w:pPr>
        <w:ind w:left="720" w:hanging="360"/>
      </w:pPr>
      <w:rPr>
        <w:rFonts w:ascii="Symbol" w:hAnsi="Symbol"/>
      </w:rPr>
    </w:lvl>
    <w:lvl w:ilvl="3" w:tplc="E3CA542C">
      <w:start w:val="1"/>
      <w:numFmt w:val="bullet"/>
      <w:lvlText w:val=""/>
      <w:lvlJc w:val="left"/>
      <w:pPr>
        <w:ind w:left="720" w:hanging="360"/>
      </w:pPr>
      <w:rPr>
        <w:rFonts w:ascii="Symbol" w:hAnsi="Symbol"/>
      </w:rPr>
    </w:lvl>
    <w:lvl w:ilvl="4" w:tplc="AE66F3C6">
      <w:start w:val="1"/>
      <w:numFmt w:val="bullet"/>
      <w:lvlText w:val=""/>
      <w:lvlJc w:val="left"/>
      <w:pPr>
        <w:ind w:left="720" w:hanging="360"/>
      </w:pPr>
      <w:rPr>
        <w:rFonts w:ascii="Symbol" w:hAnsi="Symbol"/>
      </w:rPr>
    </w:lvl>
    <w:lvl w:ilvl="5" w:tplc="B674129C">
      <w:start w:val="1"/>
      <w:numFmt w:val="bullet"/>
      <w:lvlText w:val=""/>
      <w:lvlJc w:val="left"/>
      <w:pPr>
        <w:ind w:left="720" w:hanging="360"/>
      </w:pPr>
      <w:rPr>
        <w:rFonts w:ascii="Symbol" w:hAnsi="Symbol"/>
      </w:rPr>
    </w:lvl>
    <w:lvl w:ilvl="6" w:tplc="392CC5EC">
      <w:start w:val="1"/>
      <w:numFmt w:val="bullet"/>
      <w:lvlText w:val=""/>
      <w:lvlJc w:val="left"/>
      <w:pPr>
        <w:ind w:left="720" w:hanging="360"/>
      </w:pPr>
      <w:rPr>
        <w:rFonts w:ascii="Symbol" w:hAnsi="Symbol"/>
      </w:rPr>
    </w:lvl>
    <w:lvl w:ilvl="7" w:tplc="A752674E">
      <w:start w:val="1"/>
      <w:numFmt w:val="bullet"/>
      <w:lvlText w:val=""/>
      <w:lvlJc w:val="left"/>
      <w:pPr>
        <w:ind w:left="720" w:hanging="360"/>
      </w:pPr>
      <w:rPr>
        <w:rFonts w:ascii="Symbol" w:hAnsi="Symbol"/>
      </w:rPr>
    </w:lvl>
    <w:lvl w:ilvl="8" w:tplc="B58C3DD6">
      <w:start w:val="1"/>
      <w:numFmt w:val="bullet"/>
      <w:lvlText w:val=""/>
      <w:lvlJc w:val="left"/>
      <w:pPr>
        <w:ind w:left="720" w:hanging="360"/>
      </w:pPr>
      <w:rPr>
        <w:rFonts w:ascii="Symbol" w:hAnsi="Symbol"/>
      </w:rPr>
    </w:lvl>
  </w:abstractNum>
  <w:num w:numId="1" w16cid:durableId="1732583779">
    <w:abstractNumId w:val="17"/>
  </w:num>
  <w:num w:numId="2" w16cid:durableId="1729186098">
    <w:abstractNumId w:val="4"/>
  </w:num>
  <w:num w:numId="3" w16cid:durableId="351419835">
    <w:abstractNumId w:val="15"/>
  </w:num>
  <w:num w:numId="4" w16cid:durableId="609898886">
    <w:abstractNumId w:val="2"/>
  </w:num>
  <w:num w:numId="5" w16cid:durableId="503280083">
    <w:abstractNumId w:val="14"/>
  </w:num>
  <w:num w:numId="6" w16cid:durableId="1835299888">
    <w:abstractNumId w:val="9"/>
  </w:num>
  <w:num w:numId="7" w16cid:durableId="1363744363">
    <w:abstractNumId w:val="11"/>
  </w:num>
  <w:num w:numId="8" w16cid:durableId="1777367566">
    <w:abstractNumId w:val="18"/>
  </w:num>
  <w:num w:numId="9" w16cid:durableId="1436902723">
    <w:abstractNumId w:val="7"/>
  </w:num>
  <w:num w:numId="10" w16cid:durableId="1805351357">
    <w:abstractNumId w:val="10"/>
  </w:num>
  <w:num w:numId="11" w16cid:durableId="1957104368">
    <w:abstractNumId w:val="16"/>
  </w:num>
  <w:num w:numId="12" w16cid:durableId="503978142">
    <w:abstractNumId w:val="6"/>
  </w:num>
  <w:num w:numId="13" w16cid:durableId="2058629081">
    <w:abstractNumId w:val="12"/>
  </w:num>
  <w:num w:numId="14" w16cid:durableId="1700667201">
    <w:abstractNumId w:val="1"/>
  </w:num>
  <w:num w:numId="15" w16cid:durableId="1670910760">
    <w:abstractNumId w:val="13"/>
  </w:num>
  <w:num w:numId="16" w16cid:durableId="723719746">
    <w:abstractNumId w:val="8"/>
  </w:num>
  <w:num w:numId="17" w16cid:durableId="1170212832">
    <w:abstractNumId w:val="3"/>
  </w:num>
  <w:num w:numId="18" w16cid:durableId="483818345">
    <w:abstractNumId w:val="0"/>
  </w:num>
  <w:num w:numId="19" w16cid:durableId="2034725416">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37B2"/>
    <w:rsid w:val="00004A98"/>
    <w:rsid w:val="00006BED"/>
    <w:rsid w:val="00007BD6"/>
    <w:rsid w:val="0001011C"/>
    <w:rsid w:val="000126E3"/>
    <w:rsid w:val="00013F54"/>
    <w:rsid w:val="00014D5A"/>
    <w:rsid w:val="00015330"/>
    <w:rsid w:val="0001538D"/>
    <w:rsid w:val="00016BC5"/>
    <w:rsid w:val="00022A2C"/>
    <w:rsid w:val="00024C9E"/>
    <w:rsid w:val="00031A19"/>
    <w:rsid w:val="00033F26"/>
    <w:rsid w:val="00035D3A"/>
    <w:rsid w:val="00036212"/>
    <w:rsid w:val="0003685E"/>
    <w:rsid w:val="00040562"/>
    <w:rsid w:val="00045F2C"/>
    <w:rsid w:val="000539D9"/>
    <w:rsid w:val="000541B7"/>
    <w:rsid w:val="00064604"/>
    <w:rsid w:val="00064B97"/>
    <w:rsid w:val="000671CC"/>
    <w:rsid w:val="000671EF"/>
    <w:rsid w:val="00070745"/>
    <w:rsid w:val="00073AE1"/>
    <w:rsid w:val="000740D3"/>
    <w:rsid w:val="00077C79"/>
    <w:rsid w:val="0008211F"/>
    <w:rsid w:val="00085A13"/>
    <w:rsid w:val="00086231"/>
    <w:rsid w:val="00086E8E"/>
    <w:rsid w:val="000911F6"/>
    <w:rsid w:val="000937E7"/>
    <w:rsid w:val="00093D49"/>
    <w:rsid w:val="000959E1"/>
    <w:rsid w:val="000A1BD1"/>
    <w:rsid w:val="000A4B98"/>
    <w:rsid w:val="000A51BD"/>
    <w:rsid w:val="000A6E22"/>
    <w:rsid w:val="000A7036"/>
    <w:rsid w:val="000B00B1"/>
    <w:rsid w:val="000B613F"/>
    <w:rsid w:val="000B69FA"/>
    <w:rsid w:val="000B6CB9"/>
    <w:rsid w:val="000C12D7"/>
    <w:rsid w:val="000C20C0"/>
    <w:rsid w:val="000C22EE"/>
    <w:rsid w:val="000C4E3C"/>
    <w:rsid w:val="000C5894"/>
    <w:rsid w:val="000C6981"/>
    <w:rsid w:val="000D0759"/>
    <w:rsid w:val="000D1E2D"/>
    <w:rsid w:val="000D1F78"/>
    <w:rsid w:val="000D44D3"/>
    <w:rsid w:val="000E02DD"/>
    <w:rsid w:val="000E1F3A"/>
    <w:rsid w:val="000E6753"/>
    <w:rsid w:val="0010476D"/>
    <w:rsid w:val="001075C8"/>
    <w:rsid w:val="00112B2D"/>
    <w:rsid w:val="00113E01"/>
    <w:rsid w:val="00114A28"/>
    <w:rsid w:val="00115B2A"/>
    <w:rsid w:val="00115C05"/>
    <w:rsid w:val="00125A47"/>
    <w:rsid w:val="00126D37"/>
    <w:rsid w:val="00136FFE"/>
    <w:rsid w:val="00142171"/>
    <w:rsid w:val="001431D9"/>
    <w:rsid w:val="00144729"/>
    <w:rsid w:val="00144F9F"/>
    <w:rsid w:val="00146B90"/>
    <w:rsid w:val="00150A9D"/>
    <w:rsid w:val="001610C0"/>
    <w:rsid w:val="00161E57"/>
    <w:rsid w:val="00171358"/>
    <w:rsid w:val="00172097"/>
    <w:rsid w:val="00172CC6"/>
    <w:rsid w:val="00176D0E"/>
    <w:rsid w:val="00177112"/>
    <w:rsid w:val="00181B97"/>
    <w:rsid w:val="00191B4A"/>
    <w:rsid w:val="00196E70"/>
    <w:rsid w:val="001972CF"/>
    <w:rsid w:val="001973F8"/>
    <w:rsid w:val="001A1B6D"/>
    <w:rsid w:val="001A27E7"/>
    <w:rsid w:val="001B0EE0"/>
    <w:rsid w:val="001B0F43"/>
    <w:rsid w:val="001B7CB7"/>
    <w:rsid w:val="001C0080"/>
    <w:rsid w:val="001C34EA"/>
    <w:rsid w:val="001C53BA"/>
    <w:rsid w:val="001C5C91"/>
    <w:rsid w:val="001D0FF0"/>
    <w:rsid w:val="001D2FD2"/>
    <w:rsid w:val="001E56A4"/>
    <w:rsid w:val="001F0135"/>
    <w:rsid w:val="001F05EC"/>
    <w:rsid w:val="001F0FA5"/>
    <w:rsid w:val="001F1B89"/>
    <w:rsid w:val="001F79AD"/>
    <w:rsid w:val="00202A97"/>
    <w:rsid w:val="0020385B"/>
    <w:rsid w:val="002054B5"/>
    <w:rsid w:val="00207100"/>
    <w:rsid w:val="00230668"/>
    <w:rsid w:val="002352C1"/>
    <w:rsid w:val="00237D64"/>
    <w:rsid w:val="002421D7"/>
    <w:rsid w:val="00246623"/>
    <w:rsid w:val="00246F00"/>
    <w:rsid w:val="00247504"/>
    <w:rsid w:val="00252356"/>
    <w:rsid w:val="00252BAC"/>
    <w:rsid w:val="0025385D"/>
    <w:rsid w:val="002549FF"/>
    <w:rsid w:val="00256E7C"/>
    <w:rsid w:val="00257F40"/>
    <w:rsid w:val="00262037"/>
    <w:rsid w:val="002706D2"/>
    <w:rsid w:val="00271009"/>
    <w:rsid w:val="0027160C"/>
    <w:rsid w:val="0027178E"/>
    <w:rsid w:val="00272A9D"/>
    <w:rsid w:val="00280956"/>
    <w:rsid w:val="002813DB"/>
    <w:rsid w:val="00283C8F"/>
    <w:rsid w:val="002845CF"/>
    <w:rsid w:val="00285075"/>
    <w:rsid w:val="00286D5D"/>
    <w:rsid w:val="00287612"/>
    <w:rsid w:val="00287CE7"/>
    <w:rsid w:val="0029088B"/>
    <w:rsid w:val="00291DE1"/>
    <w:rsid w:val="00295724"/>
    <w:rsid w:val="002A1768"/>
    <w:rsid w:val="002A1D72"/>
    <w:rsid w:val="002B133A"/>
    <w:rsid w:val="002B3207"/>
    <w:rsid w:val="002C0F42"/>
    <w:rsid w:val="002C1A5A"/>
    <w:rsid w:val="002C1C2A"/>
    <w:rsid w:val="002C204A"/>
    <w:rsid w:val="002C2D65"/>
    <w:rsid w:val="002C4245"/>
    <w:rsid w:val="002C502C"/>
    <w:rsid w:val="002C58A9"/>
    <w:rsid w:val="002D0292"/>
    <w:rsid w:val="002D50EE"/>
    <w:rsid w:val="002D71E2"/>
    <w:rsid w:val="002D779D"/>
    <w:rsid w:val="002E2C3E"/>
    <w:rsid w:val="002E3A6B"/>
    <w:rsid w:val="002E45C4"/>
    <w:rsid w:val="002E4FDE"/>
    <w:rsid w:val="002E6C52"/>
    <w:rsid w:val="002E726F"/>
    <w:rsid w:val="002F0815"/>
    <w:rsid w:val="002F1630"/>
    <w:rsid w:val="002F1C1C"/>
    <w:rsid w:val="002F458D"/>
    <w:rsid w:val="002F4A68"/>
    <w:rsid w:val="00304188"/>
    <w:rsid w:val="0031106F"/>
    <w:rsid w:val="00312603"/>
    <w:rsid w:val="0031768A"/>
    <w:rsid w:val="00317DD4"/>
    <w:rsid w:val="00322703"/>
    <w:rsid w:val="00326441"/>
    <w:rsid w:val="00334717"/>
    <w:rsid w:val="0034174F"/>
    <w:rsid w:val="003419DD"/>
    <w:rsid w:val="00343E6F"/>
    <w:rsid w:val="00344F9F"/>
    <w:rsid w:val="003468DD"/>
    <w:rsid w:val="00350BD1"/>
    <w:rsid w:val="0035341C"/>
    <w:rsid w:val="00361A71"/>
    <w:rsid w:val="00363105"/>
    <w:rsid w:val="00372530"/>
    <w:rsid w:val="00381392"/>
    <w:rsid w:val="00385E45"/>
    <w:rsid w:val="00395A03"/>
    <w:rsid w:val="00397DDD"/>
    <w:rsid w:val="003A01FB"/>
    <w:rsid w:val="003A0252"/>
    <w:rsid w:val="003A2D4B"/>
    <w:rsid w:val="003A3187"/>
    <w:rsid w:val="003B7399"/>
    <w:rsid w:val="003C01C7"/>
    <w:rsid w:val="003C2188"/>
    <w:rsid w:val="003C370C"/>
    <w:rsid w:val="003C73BA"/>
    <w:rsid w:val="003D4F78"/>
    <w:rsid w:val="003D604E"/>
    <w:rsid w:val="003D7D43"/>
    <w:rsid w:val="003E01EB"/>
    <w:rsid w:val="003E05AC"/>
    <w:rsid w:val="003E136E"/>
    <w:rsid w:val="003E13C8"/>
    <w:rsid w:val="003E22A5"/>
    <w:rsid w:val="003E4C13"/>
    <w:rsid w:val="003E5886"/>
    <w:rsid w:val="003F13C6"/>
    <w:rsid w:val="003F15E5"/>
    <w:rsid w:val="003F54F5"/>
    <w:rsid w:val="003F5931"/>
    <w:rsid w:val="003F74E4"/>
    <w:rsid w:val="00401DD1"/>
    <w:rsid w:val="00412079"/>
    <w:rsid w:val="00421F11"/>
    <w:rsid w:val="00425C03"/>
    <w:rsid w:val="00426D83"/>
    <w:rsid w:val="00426F01"/>
    <w:rsid w:val="004271E4"/>
    <w:rsid w:val="0043178E"/>
    <w:rsid w:val="00431A40"/>
    <w:rsid w:val="004336D2"/>
    <w:rsid w:val="00435532"/>
    <w:rsid w:val="00436B17"/>
    <w:rsid w:val="00441DC6"/>
    <w:rsid w:val="00443F2D"/>
    <w:rsid w:val="00447124"/>
    <w:rsid w:val="00452C00"/>
    <w:rsid w:val="00454342"/>
    <w:rsid w:val="004572E2"/>
    <w:rsid w:val="004572E5"/>
    <w:rsid w:val="00457BE8"/>
    <w:rsid w:val="0046073D"/>
    <w:rsid w:val="00462A8D"/>
    <w:rsid w:val="00471D43"/>
    <w:rsid w:val="0047689E"/>
    <w:rsid w:val="0048193F"/>
    <w:rsid w:val="00484F45"/>
    <w:rsid w:val="00485FC7"/>
    <w:rsid w:val="00486A1C"/>
    <w:rsid w:val="00487793"/>
    <w:rsid w:val="00487A83"/>
    <w:rsid w:val="00491AE9"/>
    <w:rsid w:val="0049365C"/>
    <w:rsid w:val="004A4443"/>
    <w:rsid w:val="004B1B48"/>
    <w:rsid w:val="004B538D"/>
    <w:rsid w:val="004B5BCB"/>
    <w:rsid w:val="004C3A29"/>
    <w:rsid w:val="004C64D4"/>
    <w:rsid w:val="004C720C"/>
    <w:rsid w:val="004C749C"/>
    <w:rsid w:val="004C758F"/>
    <w:rsid w:val="004D16EA"/>
    <w:rsid w:val="004D1A91"/>
    <w:rsid w:val="004E0682"/>
    <w:rsid w:val="004E3960"/>
    <w:rsid w:val="004E5220"/>
    <w:rsid w:val="004E608A"/>
    <w:rsid w:val="004F04F9"/>
    <w:rsid w:val="004F3DE7"/>
    <w:rsid w:val="004F4E9A"/>
    <w:rsid w:val="005035EB"/>
    <w:rsid w:val="005038EB"/>
    <w:rsid w:val="00504FB0"/>
    <w:rsid w:val="0050620D"/>
    <w:rsid w:val="0051291B"/>
    <w:rsid w:val="00513053"/>
    <w:rsid w:val="00514120"/>
    <w:rsid w:val="00521C8C"/>
    <w:rsid w:val="00523820"/>
    <w:rsid w:val="00525906"/>
    <w:rsid w:val="00525B9C"/>
    <w:rsid w:val="0052781B"/>
    <w:rsid w:val="00530567"/>
    <w:rsid w:val="00530C54"/>
    <w:rsid w:val="00531ADF"/>
    <w:rsid w:val="005334D3"/>
    <w:rsid w:val="00534140"/>
    <w:rsid w:val="00540632"/>
    <w:rsid w:val="00544B74"/>
    <w:rsid w:val="00546056"/>
    <w:rsid w:val="005462DA"/>
    <w:rsid w:val="005503D6"/>
    <w:rsid w:val="005516AC"/>
    <w:rsid w:val="0055226C"/>
    <w:rsid w:val="0055515B"/>
    <w:rsid w:val="00560132"/>
    <w:rsid w:val="00561913"/>
    <w:rsid w:val="00566246"/>
    <w:rsid w:val="00571B93"/>
    <w:rsid w:val="00575FD5"/>
    <w:rsid w:val="005832FE"/>
    <w:rsid w:val="00583714"/>
    <w:rsid w:val="00584840"/>
    <w:rsid w:val="0058631A"/>
    <w:rsid w:val="005864A5"/>
    <w:rsid w:val="005958BC"/>
    <w:rsid w:val="005977CC"/>
    <w:rsid w:val="005A0BE6"/>
    <w:rsid w:val="005A1AD8"/>
    <w:rsid w:val="005A243B"/>
    <w:rsid w:val="005A278E"/>
    <w:rsid w:val="005B0950"/>
    <w:rsid w:val="005B0A2E"/>
    <w:rsid w:val="005B1230"/>
    <w:rsid w:val="005B47F1"/>
    <w:rsid w:val="005C7632"/>
    <w:rsid w:val="005D451F"/>
    <w:rsid w:val="005D7FB2"/>
    <w:rsid w:val="005F2278"/>
    <w:rsid w:val="005F2768"/>
    <w:rsid w:val="005F4B96"/>
    <w:rsid w:val="005F6F74"/>
    <w:rsid w:val="00601B95"/>
    <w:rsid w:val="00603123"/>
    <w:rsid w:val="00605BCA"/>
    <w:rsid w:val="0060740C"/>
    <w:rsid w:val="00610C2A"/>
    <w:rsid w:val="0061392D"/>
    <w:rsid w:val="00615FD5"/>
    <w:rsid w:val="00617097"/>
    <w:rsid w:val="00625165"/>
    <w:rsid w:val="00627032"/>
    <w:rsid w:val="0063040B"/>
    <w:rsid w:val="006321E4"/>
    <w:rsid w:val="00634C39"/>
    <w:rsid w:val="0063776A"/>
    <w:rsid w:val="0064398C"/>
    <w:rsid w:val="006536C5"/>
    <w:rsid w:val="00653BC5"/>
    <w:rsid w:val="00656094"/>
    <w:rsid w:val="00661A4E"/>
    <w:rsid w:val="006662D6"/>
    <w:rsid w:val="006749DD"/>
    <w:rsid w:val="00677115"/>
    <w:rsid w:val="006810F3"/>
    <w:rsid w:val="00682F3C"/>
    <w:rsid w:val="00684B95"/>
    <w:rsid w:val="00687032"/>
    <w:rsid w:val="00687939"/>
    <w:rsid w:val="00692ABB"/>
    <w:rsid w:val="00692AFF"/>
    <w:rsid w:val="006931F7"/>
    <w:rsid w:val="0069658E"/>
    <w:rsid w:val="00696E47"/>
    <w:rsid w:val="00696F5D"/>
    <w:rsid w:val="006A0364"/>
    <w:rsid w:val="006A607B"/>
    <w:rsid w:val="006A69D9"/>
    <w:rsid w:val="006A6C8C"/>
    <w:rsid w:val="006A7019"/>
    <w:rsid w:val="006B16AF"/>
    <w:rsid w:val="006B2F61"/>
    <w:rsid w:val="006B3B3E"/>
    <w:rsid w:val="006C20CE"/>
    <w:rsid w:val="006C3DED"/>
    <w:rsid w:val="006D0CF8"/>
    <w:rsid w:val="006D145F"/>
    <w:rsid w:val="006D503F"/>
    <w:rsid w:val="007000B7"/>
    <w:rsid w:val="007039F7"/>
    <w:rsid w:val="00705405"/>
    <w:rsid w:val="00706F90"/>
    <w:rsid w:val="007147D6"/>
    <w:rsid w:val="007149D9"/>
    <w:rsid w:val="00714E48"/>
    <w:rsid w:val="00721A98"/>
    <w:rsid w:val="00727072"/>
    <w:rsid w:val="00734222"/>
    <w:rsid w:val="00735EDA"/>
    <w:rsid w:val="00746568"/>
    <w:rsid w:val="00747F8C"/>
    <w:rsid w:val="007544D4"/>
    <w:rsid w:val="007575F8"/>
    <w:rsid w:val="007611F1"/>
    <w:rsid w:val="00762BCF"/>
    <w:rsid w:val="00764818"/>
    <w:rsid w:val="00775255"/>
    <w:rsid w:val="007754E4"/>
    <w:rsid w:val="0077592A"/>
    <w:rsid w:val="00775EA0"/>
    <w:rsid w:val="00776DF4"/>
    <w:rsid w:val="00777239"/>
    <w:rsid w:val="00782271"/>
    <w:rsid w:val="00782FFE"/>
    <w:rsid w:val="00785CBE"/>
    <w:rsid w:val="0078715E"/>
    <w:rsid w:val="00794D0D"/>
    <w:rsid w:val="00795742"/>
    <w:rsid w:val="00797EFA"/>
    <w:rsid w:val="007A2C00"/>
    <w:rsid w:val="007A35D0"/>
    <w:rsid w:val="007A4800"/>
    <w:rsid w:val="007A4CBE"/>
    <w:rsid w:val="007A5DE8"/>
    <w:rsid w:val="007A7567"/>
    <w:rsid w:val="007B0DA1"/>
    <w:rsid w:val="007B29A8"/>
    <w:rsid w:val="007B3558"/>
    <w:rsid w:val="007C3793"/>
    <w:rsid w:val="007C7D61"/>
    <w:rsid w:val="007D3582"/>
    <w:rsid w:val="007D469B"/>
    <w:rsid w:val="007D5FE5"/>
    <w:rsid w:val="007E0064"/>
    <w:rsid w:val="007E126C"/>
    <w:rsid w:val="007E2BCF"/>
    <w:rsid w:val="007E72A4"/>
    <w:rsid w:val="007F18D5"/>
    <w:rsid w:val="008005C5"/>
    <w:rsid w:val="0080066F"/>
    <w:rsid w:val="008010A1"/>
    <w:rsid w:val="00806B5B"/>
    <w:rsid w:val="00807E8E"/>
    <w:rsid w:val="008146AF"/>
    <w:rsid w:val="0082024B"/>
    <w:rsid w:val="0082046C"/>
    <w:rsid w:val="0082092C"/>
    <w:rsid w:val="00820F5E"/>
    <w:rsid w:val="00824305"/>
    <w:rsid w:val="00824CEA"/>
    <w:rsid w:val="00830C65"/>
    <w:rsid w:val="0083107C"/>
    <w:rsid w:val="0083537F"/>
    <w:rsid w:val="0084618E"/>
    <w:rsid w:val="00850548"/>
    <w:rsid w:val="0085673A"/>
    <w:rsid w:val="008627D9"/>
    <w:rsid w:val="00867378"/>
    <w:rsid w:val="0087034E"/>
    <w:rsid w:val="00875C14"/>
    <w:rsid w:val="0088294C"/>
    <w:rsid w:val="00886045"/>
    <w:rsid w:val="008869A4"/>
    <w:rsid w:val="00886E71"/>
    <w:rsid w:val="00887D09"/>
    <w:rsid w:val="008925D9"/>
    <w:rsid w:val="00892DD5"/>
    <w:rsid w:val="008938FB"/>
    <w:rsid w:val="00893EA5"/>
    <w:rsid w:val="00893EBC"/>
    <w:rsid w:val="008A0571"/>
    <w:rsid w:val="008A2177"/>
    <w:rsid w:val="008A39BA"/>
    <w:rsid w:val="008B0572"/>
    <w:rsid w:val="008B2F1C"/>
    <w:rsid w:val="008B39F9"/>
    <w:rsid w:val="008B5895"/>
    <w:rsid w:val="008B689E"/>
    <w:rsid w:val="008C119B"/>
    <w:rsid w:val="008C3D7D"/>
    <w:rsid w:val="008C5657"/>
    <w:rsid w:val="008C5D8F"/>
    <w:rsid w:val="008C7197"/>
    <w:rsid w:val="008D05FE"/>
    <w:rsid w:val="008D1805"/>
    <w:rsid w:val="008D717A"/>
    <w:rsid w:val="008D77E0"/>
    <w:rsid w:val="008E5F67"/>
    <w:rsid w:val="008F3629"/>
    <w:rsid w:val="008F5CA2"/>
    <w:rsid w:val="008F785D"/>
    <w:rsid w:val="009044A5"/>
    <w:rsid w:val="0091193B"/>
    <w:rsid w:val="00914124"/>
    <w:rsid w:val="00914208"/>
    <w:rsid w:val="009146B2"/>
    <w:rsid w:val="009178C7"/>
    <w:rsid w:val="0091792A"/>
    <w:rsid w:val="00921E12"/>
    <w:rsid w:val="009225A4"/>
    <w:rsid w:val="00922C8D"/>
    <w:rsid w:val="00925BE1"/>
    <w:rsid w:val="009321B8"/>
    <w:rsid w:val="009322F2"/>
    <w:rsid w:val="00936E2C"/>
    <w:rsid w:val="009403D0"/>
    <w:rsid w:val="00942370"/>
    <w:rsid w:val="009431A5"/>
    <w:rsid w:val="0094384F"/>
    <w:rsid w:val="00944467"/>
    <w:rsid w:val="0094457D"/>
    <w:rsid w:val="009450A1"/>
    <w:rsid w:val="00945A1C"/>
    <w:rsid w:val="00945F7E"/>
    <w:rsid w:val="009471BA"/>
    <w:rsid w:val="00952D9C"/>
    <w:rsid w:val="0095528C"/>
    <w:rsid w:val="00955363"/>
    <w:rsid w:val="00955412"/>
    <w:rsid w:val="00957295"/>
    <w:rsid w:val="009577BA"/>
    <w:rsid w:val="00961ABE"/>
    <w:rsid w:val="00965526"/>
    <w:rsid w:val="00967C98"/>
    <w:rsid w:val="009713F6"/>
    <w:rsid w:val="00974297"/>
    <w:rsid w:val="00976250"/>
    <w:rsid w:val="00976B0F"/>
    <w:rsid w:val="00980B14"/>
    <w:rsid w:val="00981BA1"/>
    <w:rsid w:val="00986158"/>
    <w:rsid w:val="0098634E"/>
    <w:rsid w:val="009904FC"/>
    <w:rsid w:val="009939BE"/>
    <w:rsid w:val="0099651F"/>
    <w:rsid w:val="00997823"/>
    <w:rsid w:val="009A6149"/>
    <w:rsid w:val="009A724B"/>
    <w:rsid w:val="009A7AA3"/>
    <w:rsid w:val="009B2D67"/>
    <w:rsid w:val="009C003C"/>
    <w:rsid w:val="009C009A"/>
    <w:rsid w:val="009C122B"/>
    <w:rsid w:val="009C174B"/>
    <w:rsid w:val="009C2243"/>
    <w:rsid w:val="009C3005"/>
    <w:rsid w:val="009C6E7C"/>
    <w:rsid w:val="009C7CFC"/>
    <w:rsid w:val="009D0939"/>
    <w:rsid w:val="009D09AD"/>
    <w:rsid w:val="009D32B9"/>
    <w:rsid w:val="009D5471"/>
    <w:rsid w:val="009E48D7"/>
    <w:rsid w:val="009E54E6"/>
    <w:rsid w:val="009F20E4"/>
    <w:rsid w:val="009F239B"/>
    <w:rsid w:val="009F6510"/>
    <w:rsid w:val="009F7EBB"/>
    <w:rsid w:val="00A01B2F"/>
    <w:rsid w:val="00A04A77"/>
    <w:rsid w:val="00A0585A"/>
    <w:rsid w:val="00A1132C"/>
    <w:rsid w:val="00A122BA"/>
    <w:rsid w:val="00A13889"/>
    <w:rsid w:val="00A1782E"/>
    <w:rsid w:val="00A20308"/>
    <w:rsid w:val="00A210B0"/>
    <w:rsid w:val="00A22590"/>
    <w:rsid w:val="00A22634"/>
    <w:rsid w:val="00A250F1"/>
    <w:rsid w:val="00A302AC"/>
    <w:rsid w:val="00A3105A"/>
    <w:rsid w:val="00A40102"/>
    <w:rsid w:val="00A500F9"/>
    <w:rsid w:val="00A5063C"/>
    <w:rsid w:val="00A50ADA"/>
    <w:rsid w:val="00A52BEB"/>
    <w:rsid w:val="00A559AB"/>
    <w:rsid w:val="00A5619E"/>
    <w:rsid w:val="00A56C45"/>
    <w:rsid w:val="00A573EF"/>
    <w:rsid w:val="00A63D4F"/>
    <w:rsid w:val="00A64077"/>
    <w:rsid w:val="00A755D6"/>
    <w:rsid w:val="00A7568D"/>
    <w:rsid w:val="00A76C05"/>
    <w:rsid w:val="00A8007B"/>
    <w:rsid w:val="00A81B62"/>
    <w:rsid w:val="00A82D95"/>
    <w:rsid w:val="00A83E31"/>
    <w:rsid w:val="00A87C17"/>
    <w:rsid w:val="00A90CAF"/>
    <w:rsid w:val="00A955A2"/>
    <w:rsid w:val="00A96BC8"/>
    <w:rsid w:val="00A97877"/>
    <w:rsid w:val="00AA0375"/>
    <w:rsid w:val="00AA2A44"/>
    <w:rsid w:val="00AA4470"/>
    <w:rsid w:val="00AB7215"/>
    <w:rsid w:val="00AB773D"/>
    <w:rsid w:val="00AB7969"/>
    <w:rsid w:val="00AC483F"/>
    <w:rsid w:val="00AC728B"/>
    <w:rsid w:val="00AD26DB"/>
    <w:rsid w:val="00AD7C26"/>
    <w:rsid w:val="00AE18E3"/>
    <w:rsid w:val="00AF53E6"/>
    <w:rsid w:val="00B01538"/>
    <w:rsid w:val="00B01BF5"/>
    <w:rsid w:val="00B11391"/>
    <w:rsid w:val="00B12229"/>
    <w:rsid w:val="00B14F26"/>
    <w:rsid w:val="00B15867"/>
    <w:rsid w:val="00B2313A"/>
    <w:rsid w:val="00B25332"/>
    <w:rsid w:val="00B31584"/>
    <w:rsid w:val="00B3275D"/>
    <w:rsid w:val="00B33486"/>
    <w:rsid w:val="00B34E90"/>
    <w:rsid w:val="00B36801"/>
    <w:rsid w:val="00B401E0"/>
    <w:rsid w:val="00B40A05"/>
    <w:rsid w:val="00B4384F"/>
    <w:rsid w:val="00B44642"/>
    <w:rsid w:val="00B44DC8"/>
    <w:rsid w:val="00B47A1D"/>
    <w:rsid w:val="00B527A9"/>
    <w:rsid w:val="00B55298"/>
    <w:rsid w:val="00B556D9"/>
    <w:rsid w:val="00B616C4"/>
    <w:rsid w:val="00B63F50"/>
    <w:rsid w:val="00B67356"/>
    <w:rsid w:val="00B70A2A"/>
    <w:rsid w:val="00B711B6"/>
    <w:rsid w:val="00B753C5"/>
    <w:rsid w:val="00B76350"/>
    <w:rsid w:val="00B80E42"/>
    <w:rsid w:val="00B80E88"/>
    <w:rsid w:val="00B85339"/>
    <w:rsid w:val="00B85ACE"/>
    <w:rsid w:val="00B85B6B"/>
    <w:rsid w:val="00B866CB"/>
    <w:rsid w:val="00B91103"/>
    <w:rsid w:val="00B915B3"/>
    <w:rsid w:val="00B94184"/>
    <w:rsid w:val="00B96543"/>
    <w:rsid w:val="00B96718"/>
    <w:rsid w:val="00B97263"/>
    <w:rsid w:val="00B97900"/>
    <w:rsid w:val="00BA1CDF"/>
    <w:rsid w:val="00BA1D09"/>
    <w:rsid w:val="00BA2369"/>
    <w:rsid w:val="00BA30E8"/>
    <w:rsid w:val="00BA4175"/>
    <w:rsid w:val="00BA613D"/>
    <w:rsid w:val="00BA7829"/>
    <w:rsid w:val="00BB1D86"/>
    <w:rsid w:val="00BB33D5"/>
    <w:rsid w:val="00BB46AF"/>
    <w:rsid w:val="00BB6DAC"/>
    <w:rsid w:val="00BC03DB"/>
    <w:rsid w:val="00BC2357"/>
    <w:rsid w:val="00BC62C1"/>
    <w:rsid w:val="00BC7140"/>
    <w:rsid w:val="00BC7B32"/>
    <w:rsid w:val="00BD1330"/>
    <w:rsid w:val="00BD15A7"/>
    <w:rsid w:val="00BD2084"/>
    <w:rsid w:val="00BD4C8D"/>
    <w:rsid w:val="00BD6E64"/>
    <w:rsid w:val="00BE20BC"/>
    <w:rsid w:val="00BE5BCE"/>
    <w:rsid w:val="00BE75A9"/>
    <w:rsid w:val="00BF2375"/>
    <w:rsid w:val="00BF624C"/>
    <w:rsid w:val="00BF7384"/>
    <w:rsid w:val="00BF7F69"/>
    <w:rsid w:val="00C0319B"/>
    <w:rsid w:val="00C036AE"/>
    <w:rsid w:val="00C06164"/>
    <w:rsid w:val="00C10474"/>
    <w:rsid w:val="00C13E3E"/>
    <w:rsid w:val="00C1701D"/>
    <w:rsid w:val="00C25FCE"/>
    <w:rsid w:val="00C30721"/>
    <w:rsid w:val="00C307C1"/>
    <w:rsid w:val="00C30F9D"/>
    <w:rsid w:val="00C342B5"/>
    <w:rsid w:val="00C41999"/>
    <w:rsid w:val="00C42776"/>
    <w:rsid w:val="00C47228"/>
    <w:rsid w:val="00C5639E"/>
    <w:rsid w:val="00C64FD0"/>
    <w:rsid w:val="00C660F9"/>
    <w:rsid w:val="00C7493D"/>
    <w:rsid w:val="00C7494A"/>
    <w:rsid w:val="00C74994"/>
    <w:rsid w:val="00C76BB8"/>
    <w:rsid w:val="00C83368"/>
    <w:rsid w:val="00C86E89"/>
    <w:rsid w:val="00C9238E"/>
    <w:rsid w:val="00CA54DA"/>
    <w:rsid w:val="00CA6A6F"/>
    <w:rsid w:val="00CB7476"/>
    <w:rsid w:val="00CC23BF"/>
    <w:rsid w:val="00CC51F8"/>
    <w:rsid w:val="00CC5681"/>
    <w:rsid w:val="00CD24FB"/>
    <w:rsid w:val="00CD32F0"/>
    <w:rsid w:val="00CD48D7"/>
    <w:rsid w:val="00CD73B7"/>
    <w:rsid w:val="00CE3D64"/>
    <w:rsid w:val="00CE40AA"/>
    <w:rsid w:val="00CE6F8F"/>
    <w:rsid w:val="00CF0013"/>
    <w:rsid w:val="00CF3C8F"/>
    <w:rsid w:val="00CF49A1"/>
    <w:rsid w:val="00CF5777"/>
    <w:rsid w:val="00CF5D21"/>
    <w:rsid w:val="00CF6009"/>
    <w:rsid w:val="00D149C3"/>
    <w:rsid w:val="00D20957"/>
    <w:rsid w:val="00D21558"/>
    <w:rsid w:val="00D24EE2"/>
    <w:rsid w:val="00D258C6"/>
    <w:rsid w:val="00D30159"/>
    <w:rsid w:val="00D31FE9"/>
    <w:rsid w:val="00D327C0"/>
    <w:rsid w:val="00D40420"/>
    <w:rsid w:val="00D40D82"/>
    <w:rsid w:val="00D42875"/>
    <w:rsid w:val="00D45642"/>
    <w:rsid w:val="00D459F3"/>
    <w:rsid w:val="00D46004"/>
    <w:rsid w:val="00D469CB"/>
    <w:rsid w:val="00D5193A"/>
    <w:rsid w:val="00D533A4"/>
    <w:rsid w:val="00D567C0"/>
    <w:rsid w:val="00D56F46"/>
    <w:rsid w:val="00D577AA"/>
    <w:rsid w:val="00D632C9"/>
    <w:rsid w:val="00D665A1"/>
    <w:rsid w:val="00D66B55"/>
    <w:rsid w:val="00D67C69"/>
    <w:rsid w:val="00D70F15"/>
    <w:rsid w:val="00D72FB6"/>
    <w:rsid w:val="00D742B3"/>
    <w:rsid w:val="00D74E3F"/>
    <w:rsid w:val="00D81A89"/>
    <w:rsid w:val="00D91BEF"/>
    <w:rsid w:val="00D940E2"/>
    <w:rsid w:val="00D9676F"/>
    <w:rsid w:val="00D97C65"/>
    <w:rsid w:val="00D97CBC"/>
    <w:rsid w:val="00DA2BB0"/>
    <w:rsid w:val="00DA6011"/>
    <w:rsid w:val="00DA6210"/>
    <w:rsid w:val="00DA65C3"/>
    <w:rsid w:val="00DB1D81"/>
    <w:rsid w:val="00DB3F1D"/>
    <w:rsid w:val="00DB46D4"/>
    <w:rsid w:val="00DC1418"/>
    <w:rsid w:val="00DC2FF8"/>
    <w:rsid w:val="00DC394B"/>
    <w:rsid w:val="00DC3F21"/>
    <w:rsid w:val="00DC5EEC"/>
    <w:rsid w:val="00DD0023"/>
    <w:rsid w:val="00DD456E"/>
    <w:rsid w:val="00DD6E89"/>
    <w:rsid w:val="00DD7477"/>
    <w:rsid w:val="00DE15C6"/>
    <w:rsid w:val="00DE3C7E"/>
    <w:rsid w:val="00DE62E6"/>
    <w:rsid w:val="00DF14CA"/>
    <w:rsid w:val="00DF452E"/>
    <w:rsid w:val="00DF6376"/>
    <w:rsid w:val="00E070CE"/>
    <w:rsid w:val="00E07154"/>
    <w:rsid w:val="00E07241"/>
    <w:rsid w:val="00E12517"/>
    <w:rsid w:val="00E12BD2"/>
    <w:rsid w:val="00E15A02"/>
    <w:rsid w:val="00E16032"/>
    <w:rsid w:val="00E169B3"/>
    <w:rsid w:val="00E17C99"/>
    <w:rsid w:val="00E265DA"/>
    <w:rsid w:val="00E328FB"/>
    <w:rsid w:val="00E334F9"/>
    <w:rsid w:val="00E35E53"/>
    <w:rsid w:val="00E40665"/>
    <w:rsid w:val="00E41DEA"/>
    <w:rsid w:val="00E46824"/>
    <w:rsid w:val="00E50C48"/>
    <w:rsid w:val="00E533EB"/>
    <w:rsid w:val="00E53B24"/>
    <w:rsid w:val="00E5479D"/>
    <w:rsid w:val="00E55AA5"/>
    <w:rsid w:val="00E56832"/>
    <w:rsid w:val="00E56A37"/>
    <w:rsid w:val="00E609FD"/>
    <w:rsid w:val="00E61D71"/>
    <w:rsid w:val="00E61E9A"/>
    <w:rsid w:val="00E624CF"/>
    <w:rsid w:val="00E66656"/>
    <w:rsid w:val="00E667C2"/>
    <w:rsid w:val="00E67608"/>
    <w:rsid w:val="00E7368D"/>
    <w:rsid w:val="00E7510A"/>
    <w:rsid w:val="00E75677"/>
    <w:rsid w:val="00E76104"/>
    <w:rsid w:val="00E85A70"/>
    <w:rsid w:val="00E87036"/>
    <w:rsid w:val="00E879AD"/>
    <w:rsid w:val="00E90F3B"/>
    <w:rsid w:val="00E9231C"/>
    <w:rsid w:val="00E934BC"/>
    <w:rsid w:val="00E9642E"/>
    <w:rsid w:val="00E9735C"/>
    <w:rsid w:val="00EA266F"/>
    <w:rsid w:val="00EA4650"/>
    <w:rsid w:val="00EA5CD3"/>
    <w:rsid w:val="00EA76A8"/>
    <w:rsid w:val="00EB1778"/>
    <w:rsid w:val="00EB35DD"/>
    <w:rsid w:val="00EB3A53"/>
    <w:rsid w:val="00EB5146"/>
    <w:rsid w:val="00EB5359"/>
    <w:rsid w:val="00EC1325"/>
    <w:rsid w:val="00EC4058"/>
    <w:rsid w:val="00EC5914"/>
    <w:rsid w:val="00ED0561"/>
    <w:rsid w:val="00ED0D6B"/>
    <w:rsid w:val="00ED4CFB"/>
    <w:rsid w:val="00ED5488"/>
    <w:rsid w:val="00EE28D5"/>
    <w:rsid w:val="00EE422F"/>
    <w:rsid w:val="00EE5802"/>
    <w:rsid w:val="00EE6695"/>
    <w:rsid w:val="00EF12E3"/>
    <w:rsid w:val="00EF229D"/>
    <w:rsid w:val="00EF4C83"/>
    <w:rsid w:val="00EF7D75"/>
    <w:rsid w:val="00F01A56"/>
    <w:rsid w:val="00F04CC9"/>
    <w:rsid w:val="00F05706"/>
    <w:rsid w:val="00F24A15"/>
    <w:rsid w:val="00F27EF2"/>
    <w:rsid w:val="00F31613"/>
    <w:rsid w:val="00F31D91"/>
    <w:rsid w:val="00F3779C"/>
    <w:rsid w:val="00F40115"/>
    <w:rsid w:val="00F40C14"/>
    <w:rsid w:val="00F44400"/>
    <w:rsid w:val="00F45A4D"/>
    <w:rsid w:val="00F46EF5"/>
    <w:rsid w:val="00F476FB"/>
    <w:rsid w:val="00F52C08"/>
    <w:rsid w:val="00F636E7"/>
    <w:rsid w:val="00F66D21"/>
    <w:rsid w:val="00F6702C"/>
    <w:rsid w:val="00F70D53"/>
    <w:rsid w:val="00F71189"/>
    <w:rsid w:val="00F76273"/>
    <w:rsid w:val="00F776DB"/>
    <w:rsid w:val="00F80D72"/>
    <w:rsid w:val="00F91A2C"/>
    <w:rsid w:val="00F929F8"/>
    <w:rsid w:val="00F94B9D"/>
    <w:rsid w:val="00F94EB4"/>
    <w:rsid w:val="00F9673F"/>
    <w:rsid w:val="00F972A3"/>
    <w:rsid w:val="00FA07C8"/>
    <w:rsid w:val="00FA2BC1"/>
    <w:rsid w:val="00FA2E3B"/>
    <w:rsid w:val="00FA4A5F"/>
    <w:rsid w:val="00FA74D3"/>
    <w:rsid w:val="00FB300D"/>
    <w:rsid w:val="00FB3FD5"/>
    <w:rsid w:val="00FC0835"/>
    <w:rsid w:val="00FC0BA7"/>
    <w:rsid w:val="00FC308D"/>
    <w:rsid w:val="00FC4410"/>
    <w:rsid w:val="00FC4565"/>
    <w:rsid w:val="00FE145A"/>
    <w:rsid w:val="00FE3090"/>
    <w:rsid w:val="00FE3811"/>
    <w:rsid w:val="00FE3FB2"/>
    <w:rsid w:val="00FE50AD"/>
    <w:rsid w:val="00FE59B6"/>
    <w:rsid w:val="00FF49C5"/>
    <w:rsid w:val="00FF49FC"/>
    <w:rsid w:val="00FF6313"/>
    <w:rsid w:val="01577145"/>
    <w:rsid w:val="0209006A"/>
    <w:rsid w:val="02946AFA"/>
    <w:rsid w:val="04912C8B"/>
    <w:rsid w:val="0554A2EE"/>
    <w:rsid w:val="0692B786"/>
    <w:rsid w:val="06C72F70"/>
    <w:rsid w:val="085CABE0"/>
    <w:rsid w:val="0A10D930"/>
    <w:rsid w:val="0AE16D61"/>
    <w:rsid w:val="0B11B341"/>
    <w:rsid w:val="0C2B69FD"/>
    <w:rsid w:val="0CABAADA"/>
    <w:rsid w:val="0E8A146C"/>
    <w:rsid w:val="1100BC00"/>
    <w:rsid w:val="111A9F8E"/>
    <w:rsid w:val="13014031"/>
    <w:rsid w:val="1372468A"/>
    <w:rsid w:val="138A6FB6"/>
    <w:rsid w:val="139BEE01"/>
    <w:rsid w:val="13CBAFF0"/>
    <w:rsid w:val="14261241"/>
    <w:rsid w:val="14D3DF2A"/>
    <w:rsid w:val="157ECF2B"/>
    <w:rsid w:val="16D92C78"/>
    <w:rsid w:val="16E27479"/>
    <w:rsid w:val="178CE3E9"/>
    <w:rsid w:val="1B65553C"/>
    <w:rsid w:val="1B933D92"/>
    <w:rsid w:val="1C3B8B4F"/>
    <w:rsid w:val="1D42C191"/>
    <w:rsid w:val="204B7753"/>
    <w:rsid w:val="206BDCD7"/>
    <w:rsid w:val="20EE9902"/>
    <w:rsid w:val="217D6025"/>
    <w:rsid w:val="243E8796"/>
    <w:rsid w:val="271E32EF"/>
    <w:rsid w:val="283D4920"/>
    <w:rsid w:val="2870F630"/>
    <w:rsid w:val="293CD72F"/>
    <w:rsid w:val="29A51F20"/>
    <w:rsid w:val="2A53E2C2"/>
    <w:rsid w:val="2A75F514"/>
    <w:rsid w:val="2B020448"/>
    <w:rsid w:val="2B55F57C"/>
    <w:rsid w:val="2C1127DF"/>
    <w:rsid w:val="2DD43CC0"/>
    <w:rsid w:val="2E73F17D"/>
    <w:rsid w:val="2EB17D56"/>
    <w:rsid w:val="2F0C74A9"/>
    <w:rsid w:val="2F1460B6"/>
    <w:rsid w:val="2F957657"/>
    <w:rsid w:val="3016E8EB"/>
    <w:rsid w:val="32B17453"/>
    <w:rsid w:val="34EED77C"/>
    <w:rsid w:val="357FA73B"/>
    <w:rsid w:val="36A0E311"/>
    <w:rsid w:val="3846DC7D"/>
    <w:rsid w:val="384A2B62"/>
    <w:rsid w:val="3927D953"/>
    <w:rsid w:val="397D4B99"/>
    <w:rsid w:val="3A9C0431"/>
    <w:rsid w:val="3B450CC7"/>
    <w:rsid w:val="3C2FAB3D"/>
    <w:rsid w:val="3D39F3C3"/>
    <w:rsid w:val="3E5B7B78"/>
    <w:rsid w:val="3F6EF205"/>
    <w:rsid w:val="40BD3703"/>
    <w:rsid w:val="41FAF314"/>
    <w:rsid w:val="4253EC9A"/>
    <w:rsid w:val="42805799"/>
    <w:rsid w:val="4371D37B"/>
    <w:rsid w:val="442A1C58"/>
    <w:rsid w:val="4480E163"/>
    <w:rsid w:val="449DB2B8"/>
    <w:rsid w:val="44A03A9F"/>
    <w:rsid w:val="44B83ED7"/>
    <w:rsid w:val="46ECC139"/>
    <w:rsid w:val="472AB5BE"/>
    <w:rsid w:val="48A9B1C2"/>
    <w:rsid w:val="48CF98A0"/>
    <w:rsid w:val="49EC5D47"/>
    <w:rsid w:val="4A66CC43"/>
    <w:rsid w:val="4A807C8A"/>
    <w:rsid w:val="4AA15679"/>
    <w:rsid w:val="4E0536E0"/>
    <w:rsid w:val="4FB5903C"/>
    <w:rsid w:val="4FFFD056"/>
    <w:rsid w:val="5164299A"/>
    <w:rsid w:val="519C2A0F"/>
    <w:rsid w:val="51BF1919"/>
    <w:rsid w:val="51CA967F"/>
    <w:rsid w:val="54658DE7"/>
    <w:rsid w:val="54AC0582"/>
    <w:rsid w:val="556044EC"/>
    <w:rsid w:val="565E1784"/>
    <w:rsid w:val="56975531"/>
    <w:rsid w:val="576BA007"/>
    <w:rsid w:val="576FC622"/>
    <w:rsid w:val="5A561833"/>
    <w:rsid w:val="5AC3266C"/>
    <w:rsid w:val="5AE7D97A"/>
    <w:rsid w:val="5AFDEA70"/>
    <w:rsid w:val="5BA1CA7F"/>
    <w:rsid w:val="5C585616"/>
    <w:rsid w:val="5C876B3C"/>
    <w:rsid w:val="5D7D9428"/>
    <w:rsid w:val="606CA5D9"/>
    <w:rsid w:val="614F20B5"/>
    <w:rsid w:val="6158CE24"/>
    <w:rsid w:val="62489B64"/>
    <w:rsid w:val="6380AACB"/>
    <w:rsid w:val="64EDB268"/>
    <w:rsid w:val="6679FD49"/>
    <w:rsid w:val="66CA9704"/>
    <w:rsid w:val="67C838EC"/>
    <w:rsid w:val="68CBB515"/>
    <w:rsid w:val="68E87CCF"/>
    <w:rsid w:val="68F831CB"/>
    <w:rsid w:val="6911EF29"/>
    <w:rsid w:val="691E4652"/>
    <w:rsid w:val="69466CDA"/>
    <w:rsid w:val="69C54ABA"/>
    <w:rsid w:val="6A38A187"/>
    <w:rsid w:val="6AD52D20"/>
    <w:rsid w:val="6B24C4E9"/>
    <w:rsid w:val="6CAC6C40"/>
    <w:rsid w:val="6D4E07B4"/>
    <w:rsid w:val="6DADEE2D"/>
    <w:rsid w:val="70E0FD26"/>
    <w:rsid w:val="72AB20BF"/>
    <w:rsid w:val="731417E5"/>
    <w:rsid w:val="7405D9D1"/>
    <w:rsid w:val="7526EB5B"/>
    <w:rsid w:val="766FD73E"/>
    <w:rsid w:val="76C97DE8"/>
    <w:rsid w:val="77AE9CF6"/>
    <w:rsid w:val="78D27ED1"/>
    <w:rsid w:val="7912D7B2"/>
    <w:rsid w:val="7A071638"/>
    <w:rsid w:val="7A70F9AA"/>
    <w:rsid w:val="7B973DD2"/>
    <w:rsid w:val="7D0B5299"/>
    <w:rsid w:val="7D2CCA1F"/>
    <w:rsid w:val="7E049A28"/>
    <w:rsid w:val="7E5317A8"/>
    <w:rsid w:val="7EA53F1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2F6AB5F-3D74-4349-86FD-B8AF660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3FB2"/>
    <w:pPr>
      <w:spacing w:after="140" w:line="280" w:lineRule="exact"/>
      <w:jc w:val="both"/>
    </w:pPr>
    <w:rPr>
      <w:rFonts w:ascii="PT Sans" w:hAnsi="PT Sans"/>
      <w:color w:val="000000"/>
      <w:u w:color="000000"/>
      <w:lang w:val="de-DE"/>
    </w:rPr>
  </w:style>
  <w:style w:type="paragraph" w:styleId="berschrift1">
    <w:name w:val="heading 1"/>
    <w:basedOn w:val="Standard"/>
    <w:next w:val="Standard"/>
    <w:uiPriority w:val="9"/>
    <w:qFormat/>
    <w:rsid w:val="00FE3FB2"/>
    <w:pPr>
      <w:keepNext/>
      <w:keepLines/>
      <w:spacing w:before="480" w:after="240" w:line="480" w:lineRule="exact"/>
      <w:outlineLvl w:val="0"/>
    </w:pPr>
    <w:rPr>
      <w:b/>
      <w:sz w:val="36"/>
      <w:szCs w:val="48"/>
    </w:rPr>
  </w:style>
  <w:style w:type="paragraph" w:styleId="berschrift2">
    <w:name w:val="heading 2"/>
    <w:basedOn w:val="Standard"/>
    <w:next w:val="Standard"/>
    <w:uiPriority w:val="9"/>
    <w:unhideWhenUsed/>
    <w:qFormat/>
    <w:rsid w:val="00FE3FB2"/>
    <w:pPr>
      <w:keepNext/>
      <w:keepLines/>
      <w:spacing w:after="180" w:line="360" w:lineRule="exact"/>
      <w:outlineLvl w:val="1"/>
    </w:pPr>
    <w:rPr>
      <w:b/>
      <w:sz w:val="28"/>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rsid w:val="0002658B"/>
    <w:tblPr>
      <w:tblInd w:w="0" w:type="dxa"/>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uiPriority w:val="99"/>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0">
    <w:name w:val="Table Normal100"/>
    <w:rsid w:val="00086231"/>
    <w:tblPr>
      <w:tblInd w:w="0" w:type="dxa"/>
      <w:tblCellMar>
        <w:top w:w="0" w:type="dxa"/>
        <w:left w:w="0" w:type="dxa"/>
        <w:bottom w:w="0" w:type="dxa"/>
        <w:right w:w="0" w:type="dxa"/>
      </w:tblCellMar>
    </w:tblPr>
  </w:style>
  <w:style w:type="paragraph" w:customStyle="1" w:styleId="Standard1">
    <w:name w:val="Standard1"/>
    <w:basedOn w:val="Standard"/>
    <w:pPr>
      <w:spacing w:line="280" w:lineRule="atLeast"/>
    </w:pPr>
    <w:rPr>
      <w:rFonts w:cs="Times New Roman"/>
    </w:rPr>
  </w:style>
  <w:style w:type="paragraph" w:customStyle="1" w:styleId="Standard2">
    <w:name w:val="Standard2"/>
    <w:basedOn w:val="Standard"/>
    <w:pPr>
      <w:spacing w:line="280" w:lineRule="atLeast"/>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eopor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ob.snoeijs@zeopore.com"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mario.pistorius@ineratec.de"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ineratec.com" TargetMode="External"/><Relationship Id="rId27" Type="http://schemas.microsoft.com/office/2020/10/relationships/intelligence" Target="intelligence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5cfe66-e5c2-42bd-b147-bcc9e26e5dbe">
      <Terms xmlns="http://schemas.microsoft.com/office/infopath/2007/PartnerControls"/>
    </lcf76f155ced4ddcb4097134ff3c332f>
    <TaxCatchAll xmlns="28d16da0-d577-40b0-8a81-a83a0cce4cfe" xsi:nil="true"/>
    <_Flow_SignoffStatus xmlns="095cfe66-e5c2-42bd-b147-bcc9e26e5d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4CC7B7951856F4087A3E2DE46E57D30" ma:contentTypeVersion="15" ma:contentTypeDescription="Ein neues Dokument erstellen." ma:contentTypeScope="" ma:versionID="b804212e7e81eba3f596f6e510379941">
  <xsd:schema xmlns:xsd="http://www.w3.org/2001/XMLSchema" xmlns:xs="http://www.w3.org/2001/XMLSchema" xmlns:p="http://schemas.microsoft.com/office/2006/metadata/properties" xmlns:ns2="095cfe66-e5c2-42bd-b147-bcc9e26e5dbe" xmlns:ns3="28d16da0-d577-40b0-8a81-a83a0cce4cfe" targetNamespace="http://schemas.microsoft.com/office/2006/metadata/properties" ma:root="true" ma:fieldsID="f797188a938c06e2319e943516c8d2d9" ns2:_="" ns3:_="">
    <xsd:import namespace="095cfe66-e5c2-42bd-b147-bcc9e26e5dbe"/>
    <xsd:import namespace="28d16da0-d577-40b0-8a81-a83a0cce4c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ServiceLocation"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cfe66-e5c2-42bd-b147-bcc9e26e5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16da0-d577-40b0-8a81-a83a0cce4cf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2b53a9-4d3d-4aab-acf8-a0a54482cfd4}" ma:internalName="TaxCatchAll" ma:showField="CatchAllData" ma:web="28d16da0-d577-40b0-8a81-a83a0cce4c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095cfe66-e5c2-42bd-b147-bcc9e26e5dbe"/>
    <ds:schemaRef ds:uri="28d16da0-d577-40b0-8a81-a83a0cce4cfe"/>
  </ds:schemaRefs>
</ds:datastoreItem>
</file>

<file path=customXml/itemProps3.xml><?xml version="1.0" encoding="utf-8"?>
<ds:datastoreItem xmlns:ds="http://schemas.openxmlformats.org/officeDocument/2006/customXml" ds:itemID="{8BFFAC6E-AB31-4CB6-AB32-D0354FDC8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cfe66-e5c2-42bd-b147-bcc9e26e5dbe"/>
    <ds:schemaRef ds:uri="28d16da0-d577-40b0-8a81-a83a0cce4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3051D-D353-4E4E-AB81-B204CE31F061}">
  <ds:schemaRefs>
    <ds:schemaRef ds:uri="http://schemas.openxmlformats.org/officeDocument/2006/bibliography"/>
  </ds:schemaRefs>
</ds:datastoreItem>
</file>

<file path=customXml/itemProps5.xml><?xml version="1.0" encoding="utf-8"?>
<ds:datastoreItem xmlns:ds="http://schemas.openxmlformats.org/officeDocument/2006/customXml" ds:itemID="{C6C3043C-94C4-42C3-938B-C5D090B1E7E8}">
  <ds:schemaRefs>
    <ds:schemaRef ds:uri="http://schemas.microsoft.com/sharepoint/v3/contenttype/forms"/>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7aff070f-9298-4357-b98f-c97016d61614}" enabled="1" method="Standard" siteId="{d43a1463-07f7-4270-980f-2bd808e241a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1183</Words>
  <Characters>9716</Characters>
  <Application>Microsoft Office Word</Application>
  <DocSecurity>0</DocSecurity>
  <Lines>202</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4</cp:revision>
  <cp:lastPrinted>2026-07-08T17:19:00Z</cp:lastPrinted>
  <dcterms:created xsi:type="dcterms:W3CDTF">2026-07-08T17:19:00Z</dcterms:created>
  <dcterms:modified xsi:type="dcterms:W3CDTF">2026-07-09T06:39:00Z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dcoCalendarYear">
    <vt:lpwstr/>
  </property>
  <property fmtid="{D5CDD505-2E9C-101B-9397-08002B2CF9AE}" pid="5" name="dcoProject">
    <vt:lpwstr/>
  </property>
  <property fmtid="{D5CDD505-2E9C-101B-9397-08002B2CF9AE}" pid="6" name="ContentTypeId">
    <vt:lpwstr>0x01010094CC7B7951856F4087A3E2DE46E57D30</vt:lpwstr>
  </property>
</Properties>
</file>