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C03D31" w14:textId="0C4A6C37" w:rsidR="00E12BD2" w:rsidRPr="00FB300D" w:rsidRDefault="00E12BD2">
      <w:pPr>
        <w:rPr>
          <w:rFonts w:ascii="PT Sans" w:eastAsia="PT Sans" w:hAnsi="PT Sans" w:cs="PT Sans"/>
          <w:b/>
          <w:color w:val="1C2033"/>
          <w:sz w:val="34"/>
          <w:szCs w:val="34"/>
        </w:rPr>
      </w:pPr>
    </w:p>
    <w:p w14:paraId="3BC03D32" w14:textId="6A888D3E" w:rsidR="00E12BD2" w:rsidRPr="00FB300D" w:rsidRDefault="00036212">
      <w:pPr>
        <w:spacing w:line="240" w:lineRule="auto"/>
        <w:jc w:val="right"/>
        <w:rPr>
          <w:rFonts w:ascii="PT Sans" w:eastAsia="PT Sans" w:hAnsi="PT Sans" w:cs="PT Sans"/>
          <w:b/>
          <w:color w:val="1C2033"/>
          <w:sz w:val="36"/>
          <w:szCs w:val="36"/>
          <w:lang w:val="en-US"/>
        </w:rPr>
      </w:pPr>
      <w:r w:rsidRPr="00FB300D">
        <w:rPr>
          <w:rFonts w:ascii="PT Sans" w:eastAsia="PT Sans" w:hAnsi="PT Sans" w:cs="PT Sans"/>
          <w:color w:val="1C2033"/>
          <w:sz w:val="18"/>
          <w:szCs w:val="18"/>
          <w:lang w:val="en-US"/>
        </w:rPr>
        <w:t xml:space="preserve">PRESS RELEASE </w:t>
      </w:r>
      <w:r w:rsidRPr="00FB300D">
        <w:rPr>
          <w:rFonts w:ascii="PT Sans" w:eastAsia="PT Sans" w:hAnsi="PT Sans" w:cs="PT Sans"/>
          <w:lang w:val="en-US"/>
        </w:rPr>
        <w:br/>
      </w:r>
      <w:r w:rsidR="00AB7969">
        <w:rPr>
          <w:rFonts w:ascii="PT Sans" w:eastAsia="PT Sans" w:hAnsi="PT Sans" w:cs="PT Sans"/>
          <w:color w:val="1C2033"/>
          <w:sz w:val="18"/>
          <w:szCs w:val="18"/>
          <w:lang w:val="en-US"/>
        </w:rPr>
        <w:t>January</w:t>
      </w:r>
      <w:r w:rsidR="0058631A">
        <w:rPr>
          <w:rFonts w:ascii="PT Sans" w:eastAsia="PT Sans" w:hAnsi="PT Sans" w:cs="PT Sans"/>
          <w:color w:val="1C2033"/>
          <w:sz w:val="18"/>
          <w:szCs w:val="18"/>
          <w:lang w:val="en-US"/>
        </w:rPr>
        <w:t xml:space="preserve"> </w:t>
      </w:r>
      <w:r w:rsidR="00DC46CC">
        <w:rPr>
          <w:rFonts w:ascii="PT Sans" w:eastAsia="PT Sans" w:hAnsi="PT Sans" w:cs="PT Sans"/>
          <w:color w:val="1C2033"/>
          <w:sz w:val="18"/>
          <w:szCs w:val="18"/>
          <w:lang w:val="en-US"/>
        </w:rPr>
        <w:t>29</w:t>
      </w:r>
      <w:r w:rsidR="00AB7969" w:rsidRPr="0058631A">
        <w:rPr>
          <w:rFonts w:ascii="PT Sans" w:eastAsia="PT Sans" w:hAnsi="PT Sans" w:cs="PT Sans"/>
          <w:color w:val="1C2033"/>
          <w:sz w:val="18"/>
          <w:szCs w:val="18"/>
          <w:vertAlign w:val="superscript"/>
          <w:lang w:val="en-US"/>
        </w:rPr>
        <w:t>th</w:t>
      </w:r>
      <w:r w:rsidR="0058631A">
        <w:rPr>
          <w:rFonts w:ascii="PT Sans" w:eastAsia="PT Sans" w:hAnsi="PT Sans" w:cs="PT Sans"/>
          <w:color w:val="1C2033"/>
          <w:sz w:val="18"/>
          <w:szCs w:val="18"/>
          <w:vertAlign w:val="superscript"/>
          <w:lang w:val="en-US"/>
        </w:rPr>
        <w:t xml:space="preserve"> </w:t>
      </w:r>
      <w:r w:rsidRPr="00FB300D">
        <w:rPr>
          <w:rFonts w:ascii="PT Sans" w:eastAsia="PT Sans" w:hAnsi="PT Sans" w:cs="PT Sans"/>
          <w:color w:val="1C2033"/>
          <w:sz w:val="18"/>
          <w:szCs w:val="18"/>
          <w:lang w:val="en-US"/>
        </w:rPr>
        <w:t>202</w:t>
      </w:r>
      <w:r w:rsidR="00AB7969">
        <w:rPr>
          <w:rFonts w:ascii="PT Sans" w:eastAsia="PT Sans" w:hAnsi="PT Sans" w:cs="PT Sans"/>
          <w:color w:val="1C2033"/>
          <w:sz w:val="18"/>
          <w:szCs w:val="18"/>
          <w:lang w:val="en-US"/>
        </w:rPr>
        <w:t>5</w:t>
      </w:r>
      <w:r w:rsidRPr="00FB300D">
        <w:rPr>
          <w:rFonts w:ascii="PT Sans" w:eastAsia="PT Sans" w:hAnsi="PT Sans" w:cs="PT Sans"/>
          <w:color w:val="1C2033"/>
          <w:sz w:val="18"/>
          <w:szCs w:val="18"/>
          <w:lang w:val="en-US"/>
        </w:rPr>
        <w:t xml:space="preserve"> </w:t>
      </w:r>
    </w:p>
    <w:p w14:paraId="36F21861" w14:textId="77777777" w:rsidR="001A0665" w:rsidRDefault="001A0665" w:rsidP="001A0665">
      <w:pPr>
        <w:rPr>
          <w:rFonts w:ascii="PT Sans" w:eastAsia="PT Sans" w:hAnsi="PT Sans" w:cs="PT Sans"/>
          <w:b/>
          <w:color w:val="1C2033"/>
          <w:sz w:val="36"/>
          <w:szCs w:val="36"/>
          <w:lang w:val="en-US"/>
        </w:rPr>
      </w:pPr>
      <w:bookmarkStart w:id="0" w:name="_heading=h.gjdgxs" w:colFirst="0" w:colLast="0"/>
      <w:bookmarkEnd w:id="0"/>
      <w:r w:rsidRPr="00AA7E56">
        <w:rPr>
          <w:rFonts w:ascii="PT Sans" w:eastAsia="PT Sans" w:hAnsi="PT Sans" w:cs="PT Sans"/>
          <w:b/>
          <w:color w:val="1C2033"/>
          <w:sz w:val="36"/>
          <w:szCs w:val="36"/>
          <w:lang w:val="en-US"/>
        </w:rPr>
        <w:t xml:space="preserve">E-Fuel producer INERATEC </w:t>
      </w:r>
      <w:r>
        <w:rPr>
          <w:rFonts w:ascii="PT Sans" w:eastAsia="PT Sans" w:hAnsi="PT Sans" w:cs="PT Sans"/>
          <w:b/>
          <w:color w:val="1C2033"/>
          <w:sz w:val="36"/>
          <w:szCs w:val="36"/>
          <w:lang w:val="en-US"/>
        </w:rPr>
        <w:t xml:space="preserve">has received a funding commitment of </w:t>
      </w:r>
      <w:r w:rsidRPr="00AA7E56">
        <w:rPr>
          <w:rFonts w:ascii="PT Sans" w:eastAsia="PT Sans" w:hAnsi="PT Sans" w:cs="PT Sans"/>
          <w:b/>
          <w:color w:val="1C2033"/>
          <w:sz w:val="36"/>
          <w:szCs w:val="36"/>
          <w:lang w:val="en-US"/>
        </w:rPr>
        <w:t xml:space="preserve">€70 million </w:t>
      </w:r>
      <w:r>
        <w:rPr>
          <w:rFonts w:ascii="PT Sans" w:eastAsia="PT Sans" w:hAnsi="PT Sans" w:cs="PT Sans"/>
          <w:b/>
          <w:color w:val="1C2033"/>
          <w:sz w:val="36"/>
          <w:szCs w:val="36"/>
          <w:lang w:val="en-US"/>
        </w:rPr>
        <w:t>from the</w:t>
      </w:r>
      <w:r w:rsidRPr="00AA7E56">
        <w:rPr>
          <w:rFonts w:ascii="PT Sans" w:eastAsia="PT Sans" w:hAnsi="PT Sans" w:cs="PT Sans"/>
          <w:b/>
          <w:color w:val="1C2033"/>
          <w:sz w:val="36"/>
          <w:szCs w:val="36"/>
          <w:lang w:val="en-US"/>
        </w:rPr>
        <w:t xml:space="preserve"> European Investment Bank and Breakthrough Energy Catalyst</w:t>
      </w:r>
    </w:p>
    <w:p w14:paraId="2E274FF6" w14:textId="77777777" w:rsidR="00AA7E56" w:rsidRDefault="00AA7E56">
      <w:pPr>
        <w:rPr>
          <w:rFonts w:ascii="PT Sans" w:eastAsia="PT Sans" w:hAnsi="PT Sans" w:cs="PT Sans"/>
          <w:b/>
          <w:color w:val="1C2033"/>
          <w:sz w:val="36"/>
          <w:szCs w:val="36"/>
          <w:lang w:val="en-US"/>
        </w:rPr>
      </w:pPr>
    </w:p>
    <w:p w14:paraId="7CA677DC" w14:textId="77777777" w:rsidR="001A0665" w:rsidRDefault="001A0665" w:rsidP="001A0665">
      <w:pPr>
        <w:pStyle w:val="Listenabsatz"/>
        <w:numPr>
          <w:ilvl w:val="0"/>
          <w:numId w:val="2"/>
        </w:numPr>
        <w:ind w:left="284" w:hanging="284"/>
        <w:rPr>
          <w:rFonts w:ascii="PT Sans" w:eastAsia="PT Sans" w:hAnsi="PT Sans" w:cs="PT Sans"/>
          <w:iCs/>
          <w:sz w:val="24"/>
          <w:szCs w:val="24"/>
          <w:lang w:val="en-US"/>
        </w:rPr>
      </w:pPr>
      <w:r w:rsidRPr="00091B85">
        <w:rPr>
          <w:rFonts w:ascii="PT Sans" w:eastAsia="PT Sans" w:hAnsi="PT Sans" w:cs="PT Sans"/>
          <w:iCs/>
          <w:sz w:val="24"/>
          <w:szCs w:val="24"/>
          <w:lang w:val="en-US"/>
        </w:rPr>
        <w:t xml:space="preserve">Capital injection will </w:t>
      </w:r>
      <w:r>
        <w:rPr>
          <w:rFonts w:ascii="PT Sans" w:eastAsia="PT Sans" w:hAnsi="PT Sans" w:cs="PT Sans"/>
          <w:iCs/>
          <w:sz w:val="24"/>
          <w:szCs w:val="24"/>
          <w:lang w:val="en-US"/>
        </w:rPr>
        <w:t>support the</w:t>
      </w:r>
      <w:r w:rsidRPr="00091B85">
        <w:rPr>
          <w:rFonts w:ascii="PT Sans" w:eastAsia="PT Sans" w:hAnsi="PT Sans" w:cs="PT Sans"/>
          <w:iCs/>
          <w:sz w:val="24"/>
          <w:szCs w:val="24"/>
          <w:lang w:val="en-US"/>
        </w:rPr>
        <w:t xml:space="preserve"> development of </w:t>
      </w:r>
      <w:r>
        <w:rPr>
          <w:rFonts w:ascii="PT Sans" w:eastAsia="PT Sans" w:hAnsi="PT Sans" w:cs="PT Sans"/>
          <w:iCs/>
          <w:sz w:val="24"/>
          <w:szCs w:val="24"/>
          <w:lang w:val="en-US"/>
        </w:rPr>
        <w:t>Europe’s largest</w:t>
      </w:r>
      <w:r w:rsidRPr="00091B85">
        <w:rPr>
          <w:rFonts w:ascii="PT Sans" w:eastAsia="PT Sans" w:hAnsi="PT Sans" w:cs="PT Sans"/>
          <w:iCs/>
          <w:sz w:val="24"/>
          <w:szCs w:val="24"/>
          <w:lang w:val="en-US"/>
        </w:rPr>
        <w:t xml:space="preserve"> e-Fuel plant </w:t>
      </w:r>
      <w:r>
        <w:rPr>
          <w:rFonts w:ascii="PT Sans" w:eastAsia="PT Sans" w:hAnsi="PT Sans" w:cs="PT Sans"/>
          <w:iCs/>
          <w:sz w:val="24"/>
          <w:szCs w:val="24"/>
          <w:lang w:val="en-US"/>
        </w:rPr>
        <w:t xml:space="preserve">to date </w:t>
      </w:r>
      <w:r w:rsidRPr="00091B85">
        <w:rPr>
          <w:rFonts w:ascii="PT Sans" w:eastAsia="PT Sans" w:hAnsi="PT Sans" w:cs="PT Sans"/>
          <w:iCs/>
          <w:sz w:val="24"/>
          <w:szCs w:val="24"/>
          <w:lang w:val="en-US"/>
        </w:rPr>
        <w:t>and further research and development of INERATEC`s e-Fuels.</w:t>
      </w:r>
    </w:p>
    <w:p w14:paraId="1951408A" w14:textId="77777777" w:rsidR="001A0665" w:rsidRDefault="001A0665" w:rsidP="001A0665">
      <w:pPr>
        <w:pStyle w:val="Listenabsatz"/>
        <w:numPr>
          <w:ilvl w:val="0"/>
          <w:numId w:val="2"/>
        </w:numPr>
        <w:ind w:left="284" w:hanging="284"/>
        <w:rPr>
          <w:rFonts w:ascii="PT Sans" w:eastAsia="PT Sans" w:hAnsi="PT Sans" w:cs="PT Sans"/>
          <w:iCs/>
          <w:sz w:val="24"/>
          <w:szCs w:val="24"/>
          <w:lang w:val="en-US"/>
        </w:rPr>
      </w:pPr>
      <w:r w:rsidRPr="00091B85">
        <w:rPr>
          <w:rFonts w:ascii="PT Sans" w:eastAsia="PT Sans" w:hAnsi="PT Sans" w:cs="PT Sans"/>
          <w:iCs/>
          <w:sz w:val="24"/>
          <w:szCs w:val="24"/>
          <w:lang w:val="en-US"/>
        </w:rPr>
        <w:t xml:space="preserve">INERATEC’s e-Fuels will support compliance with EU </w:t>
      </w:r>
      <w:r>
        <w:rPr>
          <w:rFonts w:ascii="PT Sans" w:eastAsia="PT Sans" w:hAnsi="PT Sans" w:cs="PT Sans"/>
          <w:iCs/>
          <w:sz w:val="24"/>
          <w:szCs w:val="24"/>
          <w:lang w:val="en-US"/>
        </w:rPr>
        <w:t>mandates</w:t>
      </w:r>
      <w:r w:rsidRPr="00091B85">
        <w:rPr>
          <w:rFonts w:ascii="PT Sans" w:eastAsia="PT Sans" w:hAnsi="PT Sans" w:cs="PT Sans"/>
          <w:iCs/>
          <w:sz w:val="24"/>
          <w:szCs w:val="24"/>
          <w:lang w:val="en-US"/>
        </w:rPr>
        <w:t xml:space="preserve"> to reduce CO</w:t>
      </w:r>
      <w:r w:rsidRPr="00091B85">
        <w:rPr>
          <w:rFonts w:ascii="PT Sans" w:eastAsia="PT Sans" w:hAnsi="PT Sans" w:cs="PT Sans"/>
          <w:iCs/>
          <w:sz w:val="24"/>
          <w:szCs w:val="24"/>
          <w:vertAlign w:val="subscript"/>
          <w:lang w:val="en-US"/>
        </w:rPr>
        <w:t>2</w:t>
      </w:r>
      <w:r w:rsidRPr="00091B85">
        <w:rPr>
          <w:rFonts w:ascii="PT Sans" w:eastAsia="PT Sans" w:hAnsi="PT Sans" w:cs="PT Sans"/>
          <w:iCs/>
          <w:sz w:val="24"/>
          <w:szCs w:val="24"/>
          <w:lang w:val="en-US"/>
        </w:rPr>
        <w:t xml:space="preserve"> emission from aviation by blending conventional aviation fuel with synthetic aviation kerosene</w:t>
      </w:r>
      <w:r>
        <w:rPr>
          <w:rFonts w:ascii="PT Sans" w:eastAsia="PT Sans" w:hAnsi="PT Sans" w:cs="PT Sans"/>
          <w:iCs/>
          <w:sz w:val="24"/>
          <w:szCs w:val="24"/>
          <w:lang w:val="en-US"/>
        </w:rPr>
        <w:t>.</w:t>
      </w:r>
      <w:r w:rsidRPr="00091B85">
        <w:rPr>
          <w:rFonts w:ascii="PT Sans" w:eastAsia="PT Sans" w:hAnsi="PT Sans" w:cs="PT Sans"/>
          <w:iCs/>
          <w:sz w:val="24"/>
          <w:szCs w:val="24"/>
          <w:lang w:val="en-US"/>
        </w:rPr>
        <w:t xml:space="preserve"> </w:t>
      </w:r>
    </w:p>
    <w:p w14:paraId="14CA75CE" w14:textId="77777777" w:rsidR="00AA7E56" w:rsidRDefault="00AA7E56" w:rsidP="00AA7E56">
      <w:pPr>
        <w:rPr>
          <w:rFonts w:ascii="PT Sans" w:eastAsia="PT Sans" w:hAnsi="PT Sans" w:cs="PT Sans"/>
          <w:iCs/>
          <w:sz w:val="24"/>
          <w:szCs w:val="24"/>
          <w:lang w:val="en-US"/>
        </w:rPr>
      </w:pPr>
    </w:p>
    <w:p w14:paraId="5A439D59" w14:textId="0F2F767B" w:rsidR="00454342" w:rsidRPr="001A0665" w:rsidRDefault="001A0665" w:rsidP="00AA7E56">
      <w:pPr>
        <w:rPr>
          <w:rFonts w:ascii="PT Sans" w:eastAsia="PT Sans" w:hAnsi="PT Sans" w:cs="PT Sans"/>
          <w:b/>
          <w:bCs/>
          <w:sz w:val="24"/>
          <w:szCs w:val="24"/>
          <w:lang w:val="en-US"/>
        </w:rPr>
      </w:pPr>
      <w:r w:rsidRPr="155FB170">
        <w:rPr>
          <w:rFonts w:ascii="PT Sans" w:eastAsia="PT Sans" w:hAnsi="PT Sans" w:cs="PT Sans"/>
          <w:b/>
          <w:bCs/>
          <w:sz w:val="24"/>
          <w:szCs w:val="24"/>
          <w:lang w:val="en-US"/>
        </w:rPr>
        <w:t>Karlsruhe, Germany, January 29</w:t>
      </w:r>
      <w:r w:rsidRPr="155FB170">
        <w:rPr>
          <w:rFonts w:ascii="PT Sans" w:eastAsia="PT Sans" w:hAnsi="PT Sans" w:cs="PT Sans"/>
          <w:b/>
          <w:bCs/>
          <w:sz w:val="24"/>
          <w:szCs w:val="24"/>
          <w:vertAlign w:val="superscript"/>
          <w:lang w:val="en-US"/>
        </w:rPr>
        <w:t>th</w:t>
      </w:r>
      <w:proofErr w:type="gramStart"/>
      <w:r w:rsidRPr="155FB170">
        <w:rPr>
          <w:rFonts w:ascii="PT Sans" w:eastAsia="PT Sans" w:hAnsi="PT Sans" w:cs="PT Sans"/>
          <w:b/>
          <w:bCs/>
          <w:sz w:val="24"/>
          <w:szCs w:val="24"/>
          <w:lang w:val="en-US"/>
        </w:rPr>
        <w:t xml:space="preserve"> 2025</w:t>
      </w:r>
      <w:proofErr w:type="gramEnd"/>
      <w:r w:rsidRPr="155FB170">
        <w:rPr>
          <w:rFonts w:ascii="PT Sans" w:eastAsia="PT Sans" w:hAnsi="PT Sans" w:cs="PT Sans"/>
          <w:b/>
          <w:bCs/>
          <w:sz w:val="24"/>
          <w:szCs w:val="24"/>
          <w:lang w:val="en-US"/>
        </w:rPr>
        <w:t xml:space="preserve"> – The European Investment Bank (EIB) and Breakthrough Energy Catalyst have committed a €70 million funding package through the EU-Catalyst Partnership to INERATEC, a Germany based e-fuel company. The EIB is providing a venture-debt-loan, backed by the EU`s </w:t>
      </w:r>
      <w:proofErr w:type="spellStart"/>
      <w:r w:rsidRPr="155FB170">
        <w:rPr>
          <w:rFonts w:ascii="PT Sans" w:eastAsia="PT Sans" w:hAnsi="PT Sans" w:cs="PT Sans"/>
          <w:b/>
          <w:bCs/>
          <w:sz w:val="24"/>
          <w:szCs w:val="24"/>
          <w:lang w:val="en-US"/>
        </w:rPr>
        <w:t>InvestEU-programme</w:t>
      </w:r>
      <w:proofErr w:type="spellEnd"/>
      <w:r w:rsidRPr="155FB170">
        <w:rPr>
          <w:rFonts w:ascii="PT Sans" w:eastAsia="PT Sans" w:hAnsi="PT Sans" w:cs="PT Sans"/>
          <w:b/>
          <w:bCs/>
          <w:sz w:val="24"/>
          <w:szCs w:val="24"/>
          <w:lang w:val="en-US"/>
        </w:rPr>
        <w:t xml:space="preserve">, while Breakthrough Energy Catalyst has committed to </w:t>
      </w:r>
      <w:proofErr w:type="gramStart"/>
      <w:r w:rsidRPr="155FB170">
        <w:rPr>
          <w:rFonts w:ascii="PT Sans" w:eastAsia="PT Sans" w:hAnsi="PT Sans" w:cs="PT Sans"/>
          <w:b/>
          <w:bCs/>
          <w:sz w:val="24"/>
          <w:szCs w:val="24"/>
          <w:lang w:val="en-US"/>
        </w:rPr>
        <w:t>provide  a</w:t>
      </w:r>
      <w:proofErr w:type="gramEnd"/>
      <w:r w:rsidRPr="155FB170">
        <w:rPr>
          <w:rFonts w:ascii="PT Sans" w:eastAsia="PT Sans" w:hAnsi="PT Sans" w:cs="PT Sans"/>
          <w:b/>
          <w:bCs/>
          <w:sz w:val="24"/>
          <w:szCs w:val="24"/>
          <w:lang w:val="en-US"/>
        </w:rPr>
        <w:t xml:space="preserve"> grant, subject to the satisfaction of certain funding conditions. The package will support INERATEC’s carbon neutral e-Fuel production plant in Frankfurt, as well as further research and development. The Frankfurt plant is set to be the Europe’s largest when it opens in 2025.</w:t>
      </w:r>
    </w:p>
    <w:p w14:paraId="72263B60" w14:textId="77777777" w:rsidR="00AB6F5B" w:rsidRDefault="00AB6F5B" w:rsidP="000A7036">
      <w:pPr>
        <w:rPr>
          <w:rFonts w:ascii="PT Sans" w:eastAsia="PT Sans" w:hAnsi="PT Sans" w:cs="PT Sans"/>
          <w:b/>
          <w:color w:val="2BAEE5"/>
          <w:sz w:val="30"/>
          <w:szCs w:val="30"/>
          <w:lang w:val="en-US"/>
        </w:rPr>
      </w:pPr>
    </w:p>
    <w:p w14:paraId="2DF2977D" w14:textId="531BF22B" w:rsidR="000A7036" w:rsidRPr="000A7036" w:rsidRDefault="000A7036" w:rsidP="000A7036">
      <w:pPr>
        <w:rPr>
          <w:rFonts w:ascii="PT Sans" w:eastAsia="PT Sans" w:hAnsi="PT Sans" w:cs="PT Sans"/>
          <w:b/>
          <w:color w:val="2BAEE5"/>
          <w:sz w:val="30"/>
          <w:szCs w:val="30"/>
          <w:lang w:val="en-US"/>
        </w:rPr>
      </w:pPr>
      <w:r w:rsidRPr="000A7036">
        <w:rPr>
          <w:rFonts w:ascii="PT Sans" w:eastAsia="PT Sans" w:hAnsi="PT Sans" w:cs="PT Sans"/>
          <w:b/>
          <w:color w:val="2BAEE5"/>
          <w:sz w:val="30"/>
          <w:szCs w:val="30"/>
          <w:lang w:val="en-US"/>
        </w:rPr>
        <w:t xml:space="preserve">Long term market growth expected for e-SAF and e-Fuels </w:t>
      </w:r>
    </w:p>
    <w:p w14:paraId="2727C263" w14:textId="77777777" w:rsidR="00AA7E56" w:rsidRPr="00AA7E56" w:rsidRDefault="00AA7E56" w:rsidP="00AA7E56">
      <w:pPr>
        <w:rPr>
          <w:rFonts w:ascii="PT Sans" w:eastAsia="PT Sans" w:hAnsi="PT Sans" w:cs="PT Sans"/>
          <w:iCs/>
          <w:sz w:val="24"/>
          <w:szCs w:val="24"/>
          <w:lang w:val="en-US"/>
        </w:rPr>
      </w:pPr>
      <w:r w:rsidRPr="00AA7E56">
        <w:rPr>
          <w:rFonts w:ascii="PT Sans" w:eastAsia="PT Sans" w:hAnsi="PT Sans" w:cs="PT Sans"/>
          <w:iCs/>
          <w:sz w:val="24"/>
          <w:szCs w:val="24"/>
          <w:lang w:val="en-US"/>
        </w:rPr>
        <w:t>E-fuel production uses biogenic CO</w:t>
      </w:r>
      <w:r w:rsidRPr="00AF2C29">
        <w:rPr>
          <w:rFonts w:ascii="PT Sans" w:eastAsia="PT Sans" w:hAnsi="PT Sans" w:cs="PT Sans"/>
          <w:iCs/>
          <w:sz w:val="24"/>
          <w:szCs w:val="24"/>
          <w:vertAlign w:val="subscript"/>
          <w:lang w:val="en-US"/>
        </w:rPr>
        <w:t>2</w:t>
      </w:r>
      <w:r w:rsidRPr="00AA7E56">
        <w:rPr>
          <w:rFonts w:ascii="PT Sans" w:eastAsia="PT Sans" w:hAnsi="PT Sans" w:cs="PT Sans"/>
          <w:iCs/>
          <w:sz w:val="24"/>
          <w:szCs w:val="24"/>
          <w:lang w:val="en-US"/>
        </w:rPr>
        <w:t xml:space="preserve"> and green hydrogen to produce synthetic fuels and chemicals that are carbon neutral or close to carbon neutral when used. They have significant potential in hard-to-decarbonize sectors such as aviation, where commercial demand is underpinned by clear regulation. Therefore, long-term market growth can be expected.</w:t>
      </w:r>
    </w:p>
    <w:p w14:paraId="5F0142BD" w14:textId="77777777" w:rsidR="001A0665" w:rsidRPr="00AA7E56" w:rsidRDefault="001A0665" w:rsidP="001A0665">
      <w:pPr>
        <w:rPr>
          <w:rFonts w:ascii="PT Sans" w:eastAsia="PT Sans" w:hAnsi="PT Sans" w:cs="PT Sans"/>
          <w:iCs/>
          <w:sz w:val="24"/>
          <w:szCs w:val="24"/>
          <w:lang w:val="en-US"/>
        </w:rPr>
      </w:pPr>
      <w:r w:rsidRPr="00AA7E56">
        <w:rPr>
          <w:rFonts w:ascii="PT Sans" w:eastAsia="PT Sans" w:hAnsi="PT Sans" w:cs="PT Sans"/>
          <w:iCs/>
          <w:sz w:val="24"/>
          <w:szCs w:val="24"/>
          <w:lang w:val="en-US"/>
        </w:rPr>
        <w:t xml:space="preserve">The EU’s </w:t>
      </w:r>
      <w:proofErr w:type="spellStart"/>
      <w:r w:rsidRPr="00AA7E56">
        <w:rPr>
          <w:rFonts w:ascii="PT Sans" w:eastAsia="PT Sans" w:hAnsi="PT Sans" w:cs="PT Sans"/>
          <w:iCs/>
          <w:sz w:val="24"/>
          <w:szCs w:val="24"/>
          <w:lang w:val="en-US"/>
        </w:rPr>
        <w:t>ReFuelEU</w:t>
      </w:r>
      <w:proofErr w:type="spellEnd"/>
      <w:r w:rsidRPr="00AA7E56">
        <w:rPr>
          <w:rFonts w:ascii="PT Sans" w:eastAsia="PT Sans" w:hAnsi="PT Sans" w:cs="PT Sans"/>
          <w:iCs/>
          <w:sz w:val="24"/>
          <w:szCs w:val="24"/>
          <w:lang w:val="en-US"/>
        </w:rPr>
        <w:t xml:space="preserve"> Aviation regulation requires that aviation fuel suppliers provide jet-fuel with 1.2</w:t>
      </w:r>
      <w:r>
        <w:rPr>
          <w:rFonts w:ascii="PT Sans" w:eastAsia="PT Sans" w:hAnsi="PT Sans" w:cs="PT Sans"/>
          <w:iCs/>
          <w:sz w:val="24"/>
          <w:szCs w:val="24"/>
          <w:lang w:val="en-US"/>
        </w:rPr>
        <w:t>%</w:t>
      </w:r>
      <w:r w:rsidRPr="00AA7E56">
        <w:rPr>
          <w:rFonts w:ascii="PT Sans" w:eastAsia="PT Sans" w:hAnsi="PT Sans" w:cs="PT Sans"/>
          <w:iCs/>
          <w:sz w:val="24"/>
          <w:szCs w:val="24"/>
          <w:lang w:val="en-US"/>
        </w:rPr>
        <w:t xml:space="preserve"> minimum synthetic fuel content by 2030, rising to 35</w:t>
      </w:r>
      <w:r>
        <w:rPr>
          <w:rFonts w:ascii="PT Sans" w:eastAsia="PT Sans" w:hAnsi="PT Sans" w:cs="PT Sans"/>
          <w:iCs/>
          <w:sz w:val="24"/>
          <w:szCs w:val="24"/>
          <w:lang w:val="en-US"/>
        </w:rPr>
        <w:t>%</w:t>
      </w:r>
      <w:r w:rsidRPr="00AA7E56">
        <w:rPr>
          <w:rFonts w:ascii="PT Sans" w:eastAsia="PT Sans" w:hAnsi="PT Sans" w:cs="PT Sans"/>
          <w:iCs/>
          <w:sz w:val="24"/>
          <w:szCs w:val="24"/>
          <w:lang w:val="en-US"/>
        </w:rPr>
        <w:t xml:space="preserve"> in 2050. Based in Karlsruhe, Germany, INERATEC is well placed for this growing market, offering an efficient, scalable and modular plant design.</w:t>
      </w:r>
    </w:p>
    <w:p w14:paraId="17BA227B" w14:textId="77777777" w:rsidR="00AA7E56" w:rsidRDefault="00AA7E56" w:rsidP="00AA7E56">
      <w:pPr>
        <w:rPr>
          <w:rFonts w:ascii="PT Sans" w:eastAsia="PT Sans" w:hAnsi="PT Sans" w:cs="PT Sans"/>
          <w:iCs/>
          <w:sz w:val="24"/>
          <w:szCs w:val="24"/>
          <w:lang w:val="en-US"/>
        </w:rPr>
        <w:sectPr w:rsidR="00AA7E56">
          <w:headerReference w:type="default" r:id="rId12"/>
          <w:footerReference w:type="default" r:id="rId13"/>
          <w:pgSz w:w="11900" w:h="16840"/>
          <w:pgMar w:top="1417" w:right="1417" w:bottom="1134" w:left="1417" w:header="567" w:footer="510" w:gutter="0"/>
          <w:pgNumType w:start="1"/>
          <w:cols w:space="720"/>
        </w:sectPr>
      </w:pPr>
    </w:p>
    <w:p w14:paraId="0EDE68C8" w14:textId="77777777" w:rsidR="00AA7E56" w:rsidRDefault="00AA7E56" w:rsidP="000A7036">
      <w:pPr>
        <w:rPr>
          <w:rFonts w:ascii="PT Sans" w:eastAsia="PT Sans" w:hAnsi="PT Sans" w:cs="PT Sans"/>
          <w:iCs/>
          <w:sz w:val="24"/>
          <w:szCs w:val="24"/>
          <w:lang w:val="en-US"/>
        </w:rPr>
      </w:pPr>
      <w:r w:rsidRPr="00AA7E56">
        <w:rPr>
          <w:rFonts w:ascii="PT Sans" w:eastAsia="PT Sans" w:hAnsi="PT Sans" w:cs="PT Sans"/>
          <w:iCs/>
          <w:sz w:val="24"/>
          <w:szCs w:val="24"/>
          <w:lang w:val="en-US"/>
        </w:rPr>
        <w:lastRenderedPageBreak/>
        <w:t>INERATEC’S Frankfurt plant will produce up to 2,500 tons of e-fuels and e-chemicals, including e-sustainable aviation fuel (e-SAF). The plant will also incorporate an upgrading facility, enabling the e-crude oil to be refined on site into certifiable, ready-to-use sustainable aviation fuel. The fuel will support compliance with the EU’s synthetic aviation fuel mandate.</w:t>
      </w:r>
    </w:p>
    <w:p w14:paraId="453A6845" w14:textId="77777777" w:rsidR="00AA7E56" w:rsidRDefault="00AA7E56" w:rsidP="000A7036">
      <w:pPr>
        <w:rPr>
          <w:rFonts w:ascii="PT Sans" w:eastAsia="PT Sans" w:hAnsi="PT Sans" w:cs="PT Sans"/>
          <w:iCs/>
          <w:sz w:val="24"/>
          <w:szCs w:val="24"/>
          <w:lang w:val="en-US"/>
        </w:rPr>
      </w:pPr>
    </w:p>
    <w:p w14:paraId="2FC5DFEA" w14:textId="05666B98" w:rsidR="000A7036" w:rsidRPr="000A7036" w:rsidRDefault="000A7036" w:rsidP="000A7036">
      <w:pPr>
        <w:rPr>
          <w:rFonts w:ascii="PT Sans" w:eastAsia="PT Sans" w:hAnsi="PT Sans" w:cs="PT Sans"/>
          <w:b/>
          <w:color w:val="2BAEE5"/>
          <w:sz w:val="30"/>
          <w:szCs w:val="30"/>
          <w:lang w:val="en-US"/>
        </w:rPr>
      </w:pPr>
      <w:r w:rsidRPr="000A7036">
        <w:rPr>
          <w:rFonts w:ascii="PT Sans" w:eastAsia="PT Sans" w:hAnsi="PT Sans" w:cs="PT Sans"/>
          <w:b/>
          <w:color w:val="2BAEE5"/>
          <w:sz w:val="30"/>
          <w:szCs w:val="30"/>
          <w:lang w:val="en-US"/>
        </w:rPr>
        <w:t xml:space="preserve">INERATEC’s Frankfurt plant to show e-Fuel production </w:t>
      </w:r>
      <w:r w:rsidR="00AB6F5B">
        <w:rPr>
          <w:rFonts w:ascii="PT Sans" w:eastAsia="PT Sans" w:hAnsi="PT Sans" w:cs="PT Sans"/>
          <w:b/>
          <w:color w:val="2BAEE5"/>
          <w:sz w:val="30"/>
          <w:szCs w:val="30"/>
          <w:lang w:val="en-US"/>
        </w:rPr>
        <w:br/>
      </w:r>
      <w:r w:rsidRPr="000A7036">
        <w:rPr>
          <w:rFonts w:ascii="PT Sans" w:eastAsia="PT Sans" w:hAnsi="PT Sans" w:cs="PT Sans"/>
          <w:b/>
          <w:color w:val="2BAEE5"/>
          <w:sz w:val="30"/>
          <w:szCs w:val="30"/>
          <w:lang w:val="en-US"/>
        </w:rPr>
        <w:t>is possible at scale</w:t>
      </w:r>
    </w:p>
    <w:p w14:paraId="26F35A6C" w14:textId="77777777" w:rsidR="001A0665" w:rsidRPr="00AA7E56" w:rsidRDefault="001A0665" w:rsidP="001A0665">
      <w:pPr>
        <w:rPr>
          <w:rFonts w:ascii="PT Sans" w:eastAsia="PT Sans" w:hAnsi="PT Sans" w:cs="PT Sans"/>
          <w:sz w:val="24"/>
          <w:szCs w:val="24"/>
          <w:lang w:val="en-US"/>
        </w:rPr>
      </w:pPr>
      <w:r w:rsidRPr="155FB170">
        <w:rPr>
          <w:rFonts w:ascii="PT Sans" w:eastAsia="PT Sans" w:hAnsi="PT Sans" w:cs="PT Sans"/>
          <w:sz w:val="24"/>
          <w:szCs w:val="24"/>
          <w:lang w:val="en-US"/>
        </w:rPr>
        <w:t xml:space="preserve">INERATEC CEO Tim </w:t>
      </w:r>
      <w:proofErr w:type="spellStart"/>
      <w:r w:rsidRPr="155FB170">
        <w:rPr>
          <w:rFonts w:ascii="PT Sans" w:eastAsia="PT Sans" w:hAnsi="PT Sans" w:cs="PT Sans"/>
          <w:sz w:val="24"/>
          <w:szCs w:val="24"/>
          <w:lang w:val="en-US"/>
        </w:rPr>
        <w:t>Boeltken</w:t>
      </w:r>
      <w:proofErr w:type="spellEnd"/>
      <w:r w:rsidRPr="155FB170">
        <w:rPr>
          <w:rFonts w:ascii="PT Sans" w:eastAsia="PT Sans" w:hAnsi="PT Sans" w:cs="PT Sans"/>
          <w:sz w:val="24"/>
          <w:szCs w:val="24"/>
          <w:lang w:val="en-US"/>
        </w:rPr>
        <w:t xml:space="preserve"> said: “INERATEC’s Frankfurt production plant will show that e-fuel production is no longer a technological concept but a scalable reality. Reliable production of certifiable e-SAF is possible in the near-term – at commercial scale, that will be a breakthrough for sustainable aviation. The funding commitment from EIB and Breakthrough Energy Catalyst is a sign of strong confidence in the INERATEC technology and our approach.”</w:t>
      </w:r>
    </w:p>
    <w:p w14:paraId="28E32A4E" w14:textId="6D129C5C" w:rsidR="00AA7E56" w:rsidRDefault="00AA7E56" w:rsidP="00AA7E56">
      <w:pPr>
        <w:rPr>
          <w:rFonts w:ascii="PT Sans" w:eastAsia="PT Sans" w:hAnsi="PT Sans" w:cs="PT Sans"/>
          <w:iCs/>
          <w:sz w:val="24"/>
          <w:szCs w:val="24"/>
          <w:lang w:val="en-US"/>
        </w:rPr>
      </w:pPr>
      <w:r w:rsidRPr="00AA7E56">
        <w:rPr>
          <w:rFonts w:ascii="PT Sans" w:eastAsia="PT Sans" w:hAnsi="PT Sans" w:cs="PT Sans"/>
          <w:iCs/>
          <w:sz w:val="24"/>
          <w:szCs w:val="24"/>
          <w:lang w:val="en-US"/>
        </w:rPr>
        <w:t>EIB-Vice-President Nicola Beer said: “</w:t>
      </w:r>
      <w:r w:rsidR="00391FBB" w:rsidRPr="00391FBB">
        <w:rPr>
          <w:rFonts w:ascii="PT Sans" w:eastAsia="PT Sans" w:hAnsi="PT Sans" w:cs="PT Sans"/>
          <w:iCs/>
          <w:sz w:val="24"/>
          <w:szCs w:val="24"/>
          <w:lang w:val="en-US"/>
        </w:rPr>
        <w:t xml:space="preserve">E-fuels are a crucial part of achieving a competitive net-zero economy, particularly in the mobility and transport sector. Game-changing technologies like </w:t>
      </w:r>
      <w:r w:rsidR="00AF2C29">
        <w:rPr>
          <w:rFonts w:ascii="PT Sans" w:eastAsia="PT Sans" w:hAnsi="PT Sans" w:cs="PT Sans"/>
          <w:iCs/>
          <w:sz w:val="24"/>
          <w:szCs w:val="24"/>
          <w:lang w:val="en-US"/>
        </w:rPr>
        <w:t>INERATEC</w:t>
      </w:r>
      <w:r w:rsidR="00391FBB" w:rsidRPr="00391FBB">
        <w:rPr>
          <w:rFonts w:ascii="PT Sans" w:eastAsia="PT Sans" w:hAnsi="PT Sans" w:cs="PT Sans"/>
          <w:iCs/>
          <w:sz w:val="24"/>
          <w:szCs w:val="24"/>
          <w:lang w:val="en-US"/>
        </w:rPr>
        <w:t>'s play a vital role in this transition. Together with the European Commission and Breakthrough Energy, through the EIB’s venture debt product, we are supporting an innovative startup in scaling up production and advancing research to make e-fuels a viable, sustainable alternative to fossil fuels.</w:t>
      </w:r>
      <w:r w:rsidRPr="00AA7E56">
        <w:rPr>
          <w:rFonts w:ascii="PT Sans" w:eastAsia="PT Sans" w:hAnsi="PT Sans" w:cs="PT Sans"/>
          <w:iCs/>
          <w:sz w:val="24"/>
          <w:szCs w:val="24"/>
          <w:lang w:val="en-US"/>
        </w:rPr>
        <w:t xml:space="preserve">”  </w:t>
      </w:r>
    </w:p>
    <w:p w14:paraId="28740667" w14:textId="41982A7D" w:rsidR="00AA7E56" w:rsidRPr="00AA7E56" w:rsidRDefault="00AA7E56" w:rsidP="00AA7E56">
      <w:pPr>
        <w:rPr>
          <w:rFonts w:ascii="PT Sans" w:eastAsia="PT Sans" w:hAnsi="PT Sans" w:cs="PT Sans"/>
          <w:iCs/>
          <w:sz w:val="24"/>
          <w:szCs w:val="24"/>
          <w:lang w:val="en-US"/>
        </w:rPr>
      </w:pPr>
      <w:r w:rsidRPr="00AA7E56">
        <w:rPr>
          <w:rFonts w:ascii="PT Sans" w:eastAsia="PT Sans" w:hAnsi="PT Sans" w:cs="PT Sans"/>
          <w:iCs/>
          <w:sz w:val="24"/>
          <w:szCs w:val="24"/>
          <w:lang w:val="en-US"/>
        </w:rPr>
        <w:t>Mario Fernandez, Head of Breakthrough Energy Catalyst, said, “We are delighted to be working with I</w:t>
      </w:r>
      <w:r w:rsidR="00AF2C29">
        <w:rPr>
          <w:rFonts w:ascii="PT Sans" w:eastAsia="PT Sans" w:hAnsi="PT Sans" w:cs="PT Sans"/>
          <w:iCs/>
          <w:sz w:val="24"/>
          <w:szCs w:val="24"/>
          <w:lang w:val="en-US"/>
        </w:rPr>
        <w:t>NERATEC</w:t>
      </w:r>
      <w:r w:rsidRPr="00AA7E56">
        <w:rPr>
          <w:rFonts w:ascii="PT Sans" w:eastAsia="PT Sans" w:hAnsi="PT Sans" w:cs="PT Sans"/>
          <w:iCs/>
          <w:sz w:val="24"/>
          <w:szCs w:val="24"/>
          <w:lang w:val="en-US"/>
        </w:rPr>
        <w:t>. This pioneering project will bring us a decisive step closer to the decarbonization of aviation.”</w:t>
      </w:r>
    </w:p>
    <w:p w14:paraId="5F238E7A" w14:textId="062665CD" w:rsidR="000A51BD" w:rsidRDefault="00AA7E56" w:rsidP="00AA7E56">
      <w:pPr>
        <w:rPr>
          <w:rFonts w:ascii="PT Sans" w:eastAsia="PT Sans" w:hAnsi="PT Sans" w:cs="PT Sans"/>
          <w:iCs/>
          <w:sz w:val="24"/>
          <w:szCs w:val="24"/>
          <w:lang w:val="en-US"/>
        </w:rPr>
      </w:pPr>
      <w:r w:rsidRPr="00AA7E56">
        <w:rPr>
          <w:rFonts w:ascii="PT Sans" w:eastAsia="PT Sans" w:hAnsi="PT Sans" w:cs="PT Sans"/>
          <w:iCs/>
          <w:sz w:val="24"/>
          <w:szCs w:val="24"/>
          <w:lang w:val="en-US"/>
        </w:rPr>
        <w:t xml:space="preserve">The financing reinforces EIB position as the ‘The Climate Bank’, a priority in the EIB Group’s 2024-2027 Strategic Roadmap, and supports the objectives of the European Commission’s </w:t>
      </w:r>
      <w:proofErr w:type="spellStart"/>
      <w:r w:rsidRPr="00AA7E56">
        <w:rPr>
          <w:rFonts w:ascii="PT Sans" w:eastAsia="PT Sans" w:hAnsi="PT Sans" w:cs="PT Sans"/>
          <w:iCs/>
          <w:sz w:val="24"/>
          <w:szCs w:val="24"/>
          <w:lang w:val="en-US"/>
        </w:rPr>
        <w:t>RefuelEU</w:t>
      </w:r>
      <w:proofErr w:type="spellEnd"/>
      <w:r w:rsidRPr="00AA7E56">
        <w:rPr>
          <w:rFonts w:ascii="PT Sans" w:eastAsia="PT Sans" w:hAnsi="PT Sans" w:cs="PT Sans"/>
          <w:iCs/>
          <w:sz w:val="24"/>
          <w:szCs w:val="24"/>
          <w:lang w:val="en-US"/>
        </w:rPr>
        <w:t xml:space="preserve"> aviation regulations.</w:t>
      </w:r>
    </w:p>
    <w:p w14:paraId="1B1793B6" w14:textId="43EA3EE5" w:rsidR="005832FE" w:rsidRPr="005832FE" w:rsidRDefault="005832FE" w:rsidP="000A51BD">
      <w:pPr>
        <w:rPr>
          <w:rFonts w:ascii="PT Sans" w:eastAsia="PT Sans" w:hAnsi="PT Sans" w:cs="PT Sans"/>
          <w:iCs/>
          <w:sz w:val="24"/>
          <w:szCs w:val="24"/>
          <w:lang w:val="en-US"/>
        </w:rPr>
      </w:pPr>
      <w:r>
        <w:rPr>
          <w:rFonts w:ascii="PT Sans" w:eastAsia="PT Sans" w:hAnsi="PT Sans" w:cs="PT Sans"/>
          <w:iCs/>
          <w:noProof/>
          <w:sz w:val="24"/>
          <w:szCs w:val="24"/>
          <w:lang w:val="en-US"/>
        </w:rPr>
        <w:lastRenderedPageBreak/>
        <w:drawing>
          <wp:inline distT="0" distB="0" distL="0" distR="0" wp14:anchorId="0C7BC052" wp14:editId="1DC21C9C">
            <wp:extent cx="5756910" cy="3836670"/>
            <wp:effectExtent l="0" t="0" r="0" b="0"/>
            <wp:docPr id="1029759210" name="Grafik 2" descr="Ein Bild, das Kleidung, Person, Lächel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759210" name="Grafik 2" descr="Ein Bild, das Kleidung, Person, Lächeln, Gebäude enthält.&#10;&#10;KI-generierte Inhalte können fehlerhaft sei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56910" cy="3836670"/>
                    </a:xfrm>
                    <a:prstGeom prst="rect">
                      <a:avLst/>
                    </a:prstGeom>
                  </pic:spPr>
                </pic:pic>
              </a:graphicData>
            </a:graphic>
          </wp:inline>
        </w:drawing>
      </w:r>
    </w:p>
    <w:p w14:paraId="54BB52A2" w14:textId="2C72CB86" w:rsidR="0034174F" w:rsidRDefault="005832FE" w:rsidP="00AF2C29">
      <w:pPr>
        <w:rPr>
          <w:rFonts w:ascii="PT Sans" w:eastAsia="PT Sans" w:hAnsi="PT Sans" w:cs="PT Sans"/>
          <w:color w:val="1C2033"/>
          <w:sz w:val="16"/>
          <w:szCs w:val="16"/>
          <w:lang w:val="en-US"/>
        </w:rPr>
      </w:pPr>
      <w:r w:rsidRPr="005832FE">
        <w:rPr>
          <w:rFonts w:ascii="PT Sans" w:eastAsia="PT Sans" w:hAnsi="PT Sans" w:cs="PT Sans"/>
          <w:color w:val="1C2033"/>
          <w:sz w:val="16"/>
          <w:szCs w:val="16"/>
          <w:lang w:val="en-US"/>
        </w:rPr>
        <w:t>INERATEC Management: Maximilan Bac</w:t>
      </w:r>
      <w:r>
        <w:rPr>
          <w:rFonts w:ascii="PT Sans" w:eastAsia="PT Sans" w:hAnsi="PT Sans" w:cs="PT Sans"/>
          <w:color w:val="1C2033"/>
          <w:sz w:val="16"/>
          <w:szCs w:val="16"/>
          <w:lang w:val="en-US"/>
        </w:rPr>
        <w:t xml:space="preserve">khaus, CMO; Dr. Ing. Tim </w:t>
      </w:r>
      <w:proofErr w:type="spellStart"/>
      <w:r>
        <w:rPr>
          <w:rFonts w:ascii="PT Sans" w:eastAsia="PT Sans" w:hAnsi="PT Sans" w:cs="PT Sans"/>
          <w:color w:val="1C2033"/>
          <w:sz w:val="16"/>
          <w:szCs w:val="16"/>
          <w:lang w:val="en-US"/>
        </w:rPr>
        <w:t>Böltken</w:t>
      </w:r>
      <w:proofErr w:type="spellEnd"/>
      <w:r>
        <w:rPr>
          <w:rFonts w:ascii="PT Sans" w:eastAsia="PT Sans" w:hAnsi="PT Sans" w:cs="PT Sans"/>
          <w:color w:val="1C2033"/>
          <w:sz w:val="16"/>
          <w:szCs w:val="16"/>
          <w:lang w:val="en-US"/>
        </w:rPr>
        <w:t>, CEO;</w:t>
      </w:r>
      <w:r w:rsidR="0034174F" w:rsidRPr="005832FE">
        <w:rPr>
          <w:rFonts w:ascii="PT Sans" w:eastAsia="PT Sans" w:hAnsi="PT Sans" w:cs="PT Sans"/>
          <w:color w:val="1C2033"/>
          <w:sz w:val="16"/>
          <w:szCs w:val="16"/>
          <w:lang w:val="en-US"/>
        </w:rPr>
        <w:t xml:space="preserve"> </w:t>
      </w:r>
      <w:r w:rsidR="00AB773D">
        <w:rPr>
          <w:rFonts w:ascii="PT Sans" w:eastAsia="PT Sans" w:hAnsi="PT Sans" w:cs="PT Sans"/>
          <w:color w:val="1C2033"/>
          <w:sz w:val="16"/>
          <w:szCs w:val="16"/>
          <w:lang w:val="en-US"/>
        </w:rPr>
        <w:t xml:space="preserve">Ingo Katz, </w:t>
      </w:r>
      <w:r w:rsidR="0046073D">
        <w:rPr>
          <w:rFonts w:ascii="PT Sans" w:eastAsia="PT Sans" w:hAnsi="PT Sans" w:cs="PT Sans"/>
          <w:color w:val="1C2033"/>
          <w:sz w:val="16"/>
          <w:szCs w:val="16"/>
          <w:lang w:val="en-US"/>
        </w:rPr>
        <w:t xml:space="preserve">COO; Caspar </w:t>
      </w:r>
      <w:proofErr w:type="spellStart"/>
      <w:r w:rsidR="0046073D">
        <w:rPr>
          <w:rFonts w:ascii="PT Sans" w:eastAsia="PT Sans" w:hAnsi="PT Sans" w:cs="PT Sans"/>
          <w:color w:val="1C2033"/>
          <w:sz w:val="16"/>
          <w:szCs w:val="16"/>
          <w:lang w:val="en-US"/>
        </w:rPr>
        <w:t>Schuchmann</w:t>
      </w:r>
      <w:proofErr w:type="spellEnd"/>
      <w:r w:rsidR="0046073D">
        <w:rPr>
          <w:rFonts w:ascii="PT Sans" w:eastAsia="PT Sans" w:hAnsi="PT Sans" w:cs="PT Sans"/>
          <w:color w:val="1C2033"/>
          <w:sz w:val="16"/>
          <w:szCs w:val="16"/>
          <w:lang w:val="en-US"/>
        </w:rPr>
        <w:t xml:space="preserve">, </w:t>
      </w:r>
      <w:r w:rsidR="004271E4">
        <w:rPr>
          <w:rFonts w:ascii="PT Sans" w:eastAsia="PT Sans" w:hAnsi="PT Sans" w:cs="PT Sans"/>
          <w:color w:val="1C2033"/>
          <w:sz w:val="16"/>
          <w:szCs w:val="16"/>
          <w:lang w:val="en-US"/>
        </w:rPr>
        <w:t xml:space="preserve">CFO </w:t>
      </w:r>
      <w:r w:rsidR="004271E4" w:rsidRPr="005832FE">
        <w:rPr>
          <w:rFonts w:ascii="PT Sans" w:eastAsia="PT Sans" w:hAnsi="PT Sans" w:cs="PT Sans"/>
          <w:color w:val="1C2033"/>
          <w:sz w:val="16"/>
          <w:szCs w:val="16"/>
          <w:lang w:val="en-US"/>
        </w:rPr>
        <w:t>(f</w:t>
      </w:r>
      <w:r w:rsidR="004271E4">
        <w:rPr>
          <w:rFonts w:ascii="PT Sans" w:eastAsia="PT Sans" w:hAnsi="PT Sans" w:cs="PT Sans"/>
          <w:color w:val="1C2033"/>
          <w:sz w:val="16"/>
          <w:szCs w:val="16"/>
          <w:lang w:val="en-US"/>
        </w:rPr>
        <w:t>r</w:t>
      </w:r>
      <w:r w:rsidR="004271E4" w:rsidRPr="005832FE">
        <w:rPr>
          <w:rFonts w:ascii="PT Sans" w:eastAsia="PT Sans" w:hAnsi="PT Sans" w:cs="PT Sans"/>
          <w:color w:val="1C2033"/>
          <w:sz w:val="16"/>
          <w:szCs w:val="16"/>
          <w:lang w:val="en-US"/>
        </w:rPr>
        <w:t>om left to right</w:t>
      </w:r>
      <w:r w:rsidR="004271E4">
        <w:rPr>
          <w:rFonts w:ascii="PT Sans" w:eastAsia="PT Sans" w:hAnsi="PT Sans" w:cs="PT Sans"/>
          <w:color w:val="1C2033"/>
          <w:sz w:val="16"/>
          <w:szCs w:val="16"/>
          <w:lang w:val="en-US"/>
        </w:rPr>
        <w:t>)</w:t>
      </w:r>
      <w:r w:rsidR="004271E4" w:rsidRPr="005832FE">
        <w:rPr>
          <w:rFonts w:ascii="PT Sans" w:eastAsia="PT Sans" w:hAnsi="PT Sans" w:cs="PT Sans"/>
          <w:color w:val="1C2033"/>
          <w:sz w:val="16"/>
          <w:szCs w:val="16"/>
          <w:lang w:val="en-US"/>
        </w:rPr>
        <w:t xml:space="preserve"> </w:t>
      </w:r>
      <w:r w:rsidR="0034174F" w:rsidRPr="005832FE">
        <w:rPr>
          <w:rFonts w:ascii="PT Sans" w:eastAsia="PT Sans" w:hAnsi="PT Sans" w:cs="PT Sans"/>
          <w:color w:val="1C2033"/>
          <w:sz w:val="16"/>
          <w:szCs w:val="16"/>
          <w:lang w:val="en-US"/>
        </w:rPr>
        <w:t>© INERATEC</w:t>
      </w:r>
    </w:p>
    <w:p w14:paraId="3F0EA272" w14:textId="12C168B9" w:rsidR="00AF2C29" w:rsidRDefault="00AF2C29" w:rsidP="00AF2C29">
      <w:pPr>
        <w:rPr>
          <w:rFonts w:ascii="PT Sans" w:eastAsia="PT Sans" w:hAnsi="PT Sans" w:cs="PT Sans"/>
          <w:b/>
          <w:i/>
          <w:color w:val="2BAEE5"/>
          <w:sz w:val="30"/>
          <w:szCs w:val="30"/>
          <w:lang w:val="en-US"/>
        </w:rPr>
      </w:pPr>
      <w:r>
        <w:rPr>
          <w:rFonts w:ascii="PT Sans" w:eastAsia="PT Sans" w:hAnsi="PT Sans" w:cs="PT Sans"/>
          <w:b/>
          <w:i/>
          <w:noProof/>
          <w:color w:val="2BAEE5"/>
          <w:sz w:val="30"/>
          <w:szCs w:val="30"/>
          <w:lang w:val="en-US"/>
        </w:rPr>
        <w:lastRenderedPageBreak/>
        <w:drawing>
          <wp:inline distT="0" distB="0" distL="0" distR="0" wp14:anchorId="20DB3330" wp14:editId="1111E723">
            <wp:extent cx="5756910" cy="5958840"/>
            <wp:effectExtent l="0" t="0" r="0" b="0"/>
            <wp:docPr id="1825302610" name="Grafik 2" descr="Ein Bild, das Himmel, draußen, Gebäude,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302610" name="Grafik 2" descr="Ein Bild, das Himmel, draußen, Gebäude, Wolke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56910" cy="5958840"/>
                    </a:xfrm>
                    <a:prstGeom prst="rect">
                      <a:avLst/>
                    </a:prstGeom>
                  </pic:spPr>
                </pic:pic>
              </a:graphicData>
            </a:graphic>
          </wp:inline>
        </w:drawing>
      </w:r>
    </w:p>
    <w:p w14:paraId="3A730F7E" w14:textId="7E459A61" w:rsidR="00AF2C29" w:rsidRDefault="00AF2C29" w:rsidP="00AF2C29">
      <w:pPr>
        <w:rPr>
          <w:rFonts w:ascii="PT Sans" w:eastAsia="PT Sans" w:hAnsi="PT Sans" w:cs="PT Sans"/>
          <w:color w:val="1C2033"/>
          <w:sz w:val="16"/>
          <w:szCs w:val="16"/>
          <w:lang w:val="en-US"/>
        </w:rPr>
      </w:pPr>
      <w:r w:rsidRPr="005832FE">
        <w:rPr>
          <w:rFonts w:ascii="PT Sans" w:eastAsia="PT Sans" w:hAnsi="PT Sans" w:cs="PT Sans"/>
          <w:color w:val="1C2033"/>
          <w:sz w:val="16"/>
          <w:szCs w:val="16"/>
          <w:lang w:val="en-US"/>
        </w:rPr>
        <w:t>INERATEC</w:t>
      </w:r>
      <w:r>
        <w:rPr>
          <w:rFonts w:ascii="PT Sans" w:eastAsia="PT Sans" w:hAnsi="PT Sans" w:cs="PT Sans"/>
          <w:color w:val="1C2033"/>
          <w:sz w:val="16"/>
          <w:szCs w:val="16"/>
          <w:lang w:val="en-US"/>
        </w:rPr>
        <w:t xml:space="preserve"> production </w:t>
      </w:r>
      <w:proofErr w:type="spellStart"/>
      <w:r>
        <w:rPr>
          <w:rFonts w:ascii="PT Sans" w:eastAsia="PT Sans" w:hAnsi="PT Sans" w:cs="PT Sans"/>
          <w:color w:val="1C2033"/>
          <w:sz w:val="16"/>
          <w:szCs w:val="16"/>
          <w:lang w:val="en-US"/>
        </w:rPr>
        <w:t>facitlity</w:t>
      </w:r>
      <w:proofErr w:type="spellEnd"/>
      <w:r>
        <w:rPr>
          <w:rFonts w:ascii="PT Sans" w:eastAsia="PT Sans" w:hAnsi="PT Sans" w:cs="PT Sans"/>
          <w:color w:val="1C2033"/>
          <w:sz w:val="16"/>
          <w:szCs w:val="16"/>
          <w:lang w:val="en-US"/>
        </w:rPr>
        <w:t xml:space="preserve"> Frankfurt/Main</w:t>
      </w:r>
      <w:r w:rsidRPr="005832FE">
        <w:rPr>
          <w:rFonts w:ascii="PT Sans" w:eastAsia="PT Sans" w:hAnsi="PT Sans" w:cs="PT Sans"/>
          <w:color w:val="1C2033"/>
          <w:sz w:val="16"/>
          <w:szCs w:val="16"/>
          <w:lang w:val="en-US"/>
        </w:rPr>
        <w:t xml:space="preserve"> © INERATEC</w:t>
      </w:r>
    </w:p>
    <w:p w14:paraId="5107FC9E" w14:textId="77777777" w:rsidR="00AF2C29" w:rsidRPr="005832FE" w:rsidRDefault="00AF2C29" w:rsidP="00AF2C29">
      <w:pPr>
        <w:rPr>
          <w:rFonts w:ascii="PT Sans" w:eastAsia="PT Sans" w:hAnsi="PT Sans" w:cs="PT Sans"/>
          <w:b/>
          <w:i/>
          <w:color w:val="2BAEE5"/>
          <w:sz w:val="30"/>
          <w:szCs w:val="30"/>
          <w:lang w:val="en-US"/>
        </w:rPr>
      </w:pPr>
    </w:p>
    <w:p w14:paraId="06018495" w14:textId="77777777" w:rsidR="00AA7E56" w:rsidRPr="00AA7E56" w:rsidRDefault="00283C8F" w:rsidP="00AA7E56">
      <w:pPr>
        <w:rPr>
          <w:rFonts w:ascii="PT Sans" w:eastAsia="PT Sans" w:hAnsi="PT Sans" w:cs="PT Sans"/>
          <w:bCs/>
          <w:iCs/>
          <w:color w:val="auto"/>
          <w:sz w:val="24"/>
          <w:szCs w:val="24"/>
          <w:lang w:val="en-US"/>
        </w:rPr>
      </w:pPr>
      <w:r w:rsidRPr="00A27012">
        <w:rPr>
          <w:rFonts w:ascii="PT Sans" w:hAnsi="PT Sans" w:cs="Arial"/>
          <w:noProof/>
        </w:rPr>
        <mc:AlternateContent>
          <mc:Choice Requires="wps">
            <w:drawing>
              <wp:anchor distT="0" distB="0" distL="114300" distR="114300" simplePos="0" relativeHeight="251659264" behindDoc="0" locked="0" layoutInCell="1" hidden="0" allowOverlap="1" wp14:anchorId="453E61B6" wp14:editId="053751CC">
                <wp:simplePos x="0" y="0"/>
                <wp:positionH relativeFrom="column">
                  <wp:posOffset>0</wp:posOffset>
                </wp:positionH>
                <wp:positionV relativeFrom="paragraph">
                  <wp:posOffset>0</wp:posOffset>
                </wp:positionV>
                <wp:extent cx="5715000" cy="37942"/>
                <wp:effectExtent l="0" t="0" r="0" b="0"/>
                <wp:wrapNone/>
                <wp:docPr id="8" name="Gerade Verbindung mit Pfeil 8"/>
                <wp:cNvGraphicFramePr/>
                <a:graphic xmlns:a="http://schemas.openxmlformats.org/drawingml/2006/main">
                  <a:graphicData uri="http://schemas.microsoft.com/office/word/2010/wordprocessingShape">
                    <wps:wsp>
                      <wps:cNvCnPr/>
                      <wps:spPr>
                        <a:xfrm>
                          <a:off x="2498025" y="3770554"/>
                          <a:ext cx="5695950" cy="18892"/>
                        </a:xfrm>
                        <a:prstGeom prst="straightConnector1">
                          <a:avLst/>
                        </a:prstGeom>
                        <a:noFill/>
                        <a:ln w="19050" cap="flat" cmpd="sng">
                          <a:solidFill>
                            <a:srgbClr val="2BAEE5"/>
                          </a:solidFill>
                          <a:prstDash val="solid"/>
                          <a:miter lim="800000"/>
                          <a:headEnd type="none" w="sm" len="sm"/>
                          <a:tailEnd type="none" w="sm" len="sm"/>
                        </a:ln>
                      </wps:spPr>
                      <wps:bodyPr/>
                    </wps:wsp>
                  </a:graphicData>
                </a:graphic>
              </wp:anchor>
            </w:drawing>
          </mc:Choice>
          <mc:Fallback>
            <w:pict>
              <v:shapetype w14:anchorId="13C9BF0A" id="_x0000_t32" coordsize="21600,21600" o:spt="32" o:oned="t" path="m,l21600,21600e" filled="f">
                <v:path arrowok="t" fillok="f" o:connecttype="none"/>
                <o:lock v:ext="edit" shapetype="t"/>
              </v:shapetype>
              <v:shape id="Gerade Verbindung mit Pfeil 8" o:spid="_x0000_s1026" type="#_x0000_t32" style="position:absolute;margin-left:0;margin-top:0;width:450pt;height:3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" strokecolor="#2baee5" strokeweight="1.5pt">
                <v:stroke startarrowwidth="narrow" startarrowlength="short" endarrowwidth="narrow" endarrowlength="short" joinstyle="miter"/>
              </v:shape>
            </w:pict>
          </mc:Fallback>
        </mc:AlternateContent>
      </w:r>
      <w:r w:rsidRPr="00AB7969">
        <w:rPr>
          <w:rFonts w:ascii="PT Sans" w:eastAsia="PT Sans" w:hAnsi="PT Sans" w:cs="PT Sans"/>
          <w:bCs/>
          <w:iCs/>
          <w:color w:val="auto"/>
          <w:sz w:val="24"/>
          <w:szCs w:val="24"/>
          <w:lang w:val="en-US"/>
        </w:rPr>
        <w:br/>
      </w:r>
      <w:r w:rsidR="00AA7E56" w:rsidRPr="00AA7E56">
        <w:rPr>
          <w:rFonts w:ascii="PT Sans" w:eastAsia="PT Sans" w:hAnsi="PT Sans" w:cs="PT Sans"/>
          <w:b/>
          <w:iCs/>
          <w:color w:val="auto"/>
          <w:sz w:val="24"/>
          <w:szCs w:val="24"/>
          <w:lang w:val="en-US"/>
        </w:rPr>
        <w:t>The European Investment Bank (</w:t>
      </w:r>
      <w:proofErr w:type="spellStart"/>
      <w:r w:rsidR="00AA7E56" w:rsidRPr="00AA7E56">
        <w:rPr>
          <w:rFonts w:ascii="PT Sans" w:eastAsia="PT Sans" w:hAnsi="PT Sans" w:cs="PT Sans"/>
          <w:b/>
          <w:iCs/>
          <w:color w:val="auto"/>
          <w:sz w:val="24"/>
          <w:szCs w:val="24"/>
          <w:lang w:val="en-US"/>
        </w:rPr>
        <w:t>ElB</w:t>
      </w:r>
      <w:proofErr w:type="spellEnd"/>
      <w:r w:rsidR="00AA7E56" w:rsidRPr="00AA7E56">
        <w:rPr>
          <w:rFonts w:ascii="PT Sans" w:eastAsia="PT Sans" w:hAnsi="PT Sans" w:cs="PT Sans"/>
          <w:b/>
          <w:iCs/>
          <w:color w:val="auto"/>
          <w:sz w:val="24"/>
          <w:szCs w:val="24"/>
          <w:lang w:val="en-US"/>
        </w:rPr>
        <w:t>)</w:t>
      </w:r>
      <w:r w:rsidR="00AA7E56" w:rsidRPr="00AA7E56">
        <w:rPr>
          <w:rFonts w:ascii="PT Sans" w:eastAsia="PT Sans" w:hAnsi="PT Sans" w:cs="PT Sans"/>
          <w:bCs/>
          <w:iCs/>
          <w:color w:val="auto"/>
          <w:sz w:val="24"/>
          <w:szCs w:val="24"/>
          <w:lang w:val="en-US"/>
        </w:rPr>
        <w:t xml:space="preserve"> is the long-term lending institution of the European Union, owned by its Member States. It finances investments that contribute to EU policy objectives. EIB projects bolster competitiveness, drive innovation, promote sustainable development, enhance social and territorial cohesion, and support a just and swift transition to climate neutrality. The EIB Group, which also includes the European Investment Fund (EIF), signed a total of €88 billion in new financing for over 900 projects in 2023. </w:t>
      </w:r>
    </w:p>
    <w:p w14:paraId="4F4078BE" w14:textId="77777777" w:rsidR="00AF2C29" w:rsidRDefault="00AF2C29" w:rsidP="00AA7E56">
      <w:pPr>
        <w:rPr>
          <w:rFonts w:ascii="PT Sans" w:eastAsia="PT Sans" w:hAnsi="PT Sans" w:cs="PT Sans"/>
          <w:bCs/>
          <w:iCs/>
          <w:color w:val="auto"/>
          <w:sz w:val="24"/>
          <w:szCs w:val="24"/>
          <w:lang w:val="en-US"/>
        </w:rPr>
        <w:sectPr w:rsidR="00AF2C29">
          <w:pgSz w:w="11900" w:h="16840"/>
          <w:pgMar w:top="1417" w:right="1417" w:bottom="1134" w:left="1417" w:header="567" w:footer="510" w:gutter="0"/>
          <w:pgNumType w:start="1"/>
          <w:cols w:space="720"/>
        </w:sectPr>
      </w:pPr>
    </w:p>
    <w:p w14:paraId="0347F64A" w14:textId="77777777" w:rsidR="00AA7E56" w:rsidRPr="00AA7E56" w:rsidRDefault="00AA7E56" w:rsidP="00AA7E56">
      <w:pPr>
        <w:rPr>
          <w:rFonts w:ascii="PT Sans" w:eastAsia="PT Sans" w:hAnsi="PT Sans" w:cs="PT Sans"/>
          <w:bCs/>
          <w:iCs/>
          <w:color w:val="auto"/>
          <w:sz w:val="24"/>
          <w:szCs w:val="24"/>
          <w:lang w:val="en-US"/>
        </w:rPr>
      </w:pPr>
      <w:r w:rsidRPr="00AA7E56">
        <w:rPr>
          <w:rFonts w:ascii="PT Sans" w:eastAsia="PT Sans" w:hAnsi="PT Sans" w:cs="PT Sans"/>
          <w:bCs/>
          <w:iCs/>
          <w:color w:val="auto"/>
          <w:sz w:val="24"/>
          <w:szCs w:val="24"/>
          <w:lang w:val="en-US"/>
        </w:rPr>
        <w:lastRenderedPageBreak/>
        <w:t xml:space="preserve">All projects financed by the EIB Group are in line with the Paris Climate Accord. The EIB Group does not fund investments in fossil fuels. We are on track to deliver on our commitment to support €1 trillion in climate and environmental sustainability investment in the decade to 2030 as pledged in our Climate Bank Roadmap. Over half of the EIB Group’s annual financing supports projects directly contributing to climate change mitigation, adaptation, and a healthier environment. </w:t>
      </w:r>
    </w:p>
    <w:p w14:paraId="7AC02429" w14:textId="77777777" w:rsidR="00AA7E56" w:rsidRPr="00AA7E56" w:rsidRDefault="00AA7E56" w:rsidP="00AA7E56">
      <w:pPr>
        <w:rPr>
          <w:rFonts w:ascii="PT Sans" w:eastAsia="PT Sans" w:hAnsi="PT Sans" w:cs="PT Sans"/>
          <w:bCs/>
          <w:iCs/>
          <w:color w:val="auto"/>
          <w:sz w:val="24"/>
          <w:szCs w:val="24"/>
          <w:lang w:val="en-US"/>
        </w:rPr>
      </w:pPr>
    </w:p>
    <w:p w14:paraId="38382A57" w14:textId="77777777" w:rsidR="00AA7E56" w:rsidRPr="00AA7E56" w:rsidRDefault="00AA7E56" w:rsidP="00AA7E56">
      <w:pPr>
        <w:rPr>
          <w:rFonts w:ascii="PT Sans" w:eastAsia="PT Sans" w:hAnsi="PT Sans" w:cs="PT Sans"/>
          <w:bCs/>
          <w:iCs/>
          <w:color w:val="auto"/>
          <w:sz w:val="24"/>
          <w:szCs w:val="24"/>
          <w:lang w:val="en-US"/>
        </w:rPr>
      </w:pPr>
      <w:r w:rsidRPr="00AA7E56">
        <w:rPr>
          <w:rFonts w:ascii="PT Sans" w:eastAsia="PT Sans" w:hAnsi="PT Sans" w:cs="PT Sans"/>
          <w:b/>
          <w:iCs/>
          <w:color w:val="auto"/>
          <w:sz w:val="24"/>
          <w:szCs w:val="24"/>
          <w:lang w:val="en-US"/>
        </w:rPr>
        <w:t>Breakthrough Energy</w:t>
      </w:r>
      <w:r w:rsidRPr="00AA7E56">
        <w:rPr>
          <w:rFonts w:ascii="PT Sans" w:eastAsia="PT Sans" w:hAnsi="PT Sans" w:cs="PT Sans"/>
          <w:bCs/>
          <w:iCs/>
          <w:color w:val="auto"/>
          <w:sz w:val="24"/>
          <w:szCs w:val="24"/>
          <w:lang w:val="en-US"/>
        </w:rPr>
        <w:t xml:space="preserve"> is committed to accelerating the world’s journey to a clean energy future. The organization funds breakthrough technologies, advocates for climate-smart policies, and mobilizes partners around the world to take effective action, accelerating progress at every stage.</w:t>
      </w:r>
    </w:p>
    <w:p w14:paraId="181507C1" w14:textId="77777777" w:rsidR="001A0665" w:rsidRDefault="001A0665" w:rsidP="001A0665">
      <w:pPr>
        <w:rPr>
          <w:rFonts w:ascii="PT Sans" w:eastAsia="PT Sans" w:hAnsi="PT Sans" w:cs="PT Sans"/>
          <w:bCs/>
          <w:iCs/>
          <w:color w:val="auto"/>
          <w:sz w:val="24"/>
          <w:szCs w:val="24"/>
          <w:lang w:val="en-US"/>
        </w:rPr>
      </w:pPr>
      <w:r w:rsidRPr="00AA7E56">
        <w:rPr>
          <w:rFonts w:ascii="PT Sans" w:eastAsia="PT Sans" w:hAnsi="PT Sans" w:cs="PT Sans"/>
          <w:b/>
          <w:iCs/>
          <w:color w:val="auto"/>
          <w:sz w:val="24"/>
          <w:szCs w:val="24"/>
          <w:lang w:val="en-US"/>
        </w:rPr>
        <w:t>Breakthrough Energy Catalyst</w:t>
      </w:r>
      <w:r w:rsidRPr="00AA7E56">
        <w:rPr>
          <w:rFonts w:ascii="PT Sans" w:eastAsia="PT Sans" w:hAnsi="PT Sans" w:cs="PT Sans"/>
          <w:bCs/>
          <w:iCs/>
          <w:color w:val="auto"/>
          <w:sz w:val="24"/>
          <w:szCs w:val="24"/>
          <w:lang w:val="en-US"/>
        </w:rPr>
        <w:t xml:space="preserve"> is a novel platform that funds and invests in first-of-a-kind commercial projects for emerging climate technologies. By investing in these opportunities, Catalyst seeks to accelerate the adoption of these technologies worldwide and reduce their costs.</w:t>
      </w:r>
    </w:p>
    <w:p w14:paraId="79D7283A" w14:textId="77777777" w:rsidR="001A0665" w:rsidRPr="00AA7E56" w:rsidRDefault="001A0665" w:rsidP="001A0665">
      <w:pPr>
        <w:rPr>
          <w:rFonts w:ascii="PT Sans" w:eastAsia="PT Sans" w:hAnsi="PT Sans" w:cs="PT Sans"/>
          <w:bCs/>
          <w:iCs/>
          <w:color w:val="auto"/>
          <w:sz w:val="24"/>
          <w:szCs w:val="24"/>
          <w:lang w:val="en-US"/>
        </w:rPr>
      </w:pPr>
      <w:r w:rsidRPr="001A0665">
        <w:rPr>
          <w:rFonts w:ascii="PT Sans" w:eastAsia="PT Sans" w:hAnsi="PT Sans" w:cs="PT Sans"/>
          <w:bCs/>
          <w:iCs/>
          <w:color w:val="auto"/>
          <w:sz w:val="24"/>
          <w:szCs w:val="24"/>
          <w:lang w:val="en-US"/>
        </w:rPr>
        <w:t xml:space="preserve">The </w:t>
      </w:r>
      <w:hyperlink r:id="rId16" w:history="1">
        <w:r w:rsidRPr="001A0665">
          <w:rPr>
            <w:rStyle w:val="Hyperlink"/>
            <w:rFonts w:ascii="PT Sans" w:eastAsia="PT Sans" w:hAnsi="PT Sans" w:cs="PT Sans"/>
            <w:bCs/>
            <w:iCs/>
            <w:sz w:val="24"/>
            <w:szCs w:val="24"/>
            <w:lang w:val="en-US"/>
          </w:rPr>
          <w:t>EU-Catalyst Partnership was launched</w:t>
        </w:r>
      </w:hyperlink>
      <w:r w:rsidRPr="001A0665">
        <w:rPr>
          <w:rFonts w:ascii="PT Sans" w:eastAsia="PT Sans" w:hAnsi="PT Sans" w:cs="PT Sans"/>
          <w:bCs/>
          <w:iCs/>
          <w:color w:val="auto"/>
          <w:sz w:val="24"/>
          <w:szCs w:val="24"/>
          <w:lang w:val="en-US"/>
        </w:rPr>
        <w:t xml:space="preserve"> in 2021 at COP26 in Glasgow with the aim to develop large-scale green tech projects based in Europe and boost investments in critical climate technologies.</w:t>
      </w:r>
    </w:p>
    <w:p w14:paraId="4E2F289A" w14:textId="77777777" w:rsidR="001A0665" w:rsidRPr="00AA7E56" w:rsidRDefault="001A0665" w:rsidP="001A0665">
      <w:pPr>
        <w:rPr>
          <w:rFonts w:ascii="PT Sans" w:eastAsia="PT Sans" w:hAnsi="PT Sans" w:cs="PT Sans"/>
          <w:bCs/>
          <w:iCs/>
          <w:color w:val="auto"/>
          <w:sz w:val="24"/>
          <w:szCs w:val="24"/>
          <w:lang w:val="en-US"/>
        </w:rPr>
      </w:pPr>
      <w:r w:rsidRPr="00AA7E56">
        <w:rPr>
          <w:rFonts w:ascii="PT Sans" w:eastAsia="PT Sans" w:hAnsi="PT Sans" w:cs="PT Sans"/>
          <w:bCs/>
          <w:iCs/>
          <w:color w:val="auto"/>
          <w:sz w:val="24"/>
          <w:szCs w:val="24"/>
          <w:lang w:val="en-US"/>
        </w:rPr>
        <w:t xml:space="preserve">Catalyst currently focuses on five technology areas: clean hydrogen, sustainable aviation fuel, direct air capture, long-duration energy storage, and manufacturing decarbonization. In addition to capital, Catalyst leverages the team’s energy-infrastructure-investing and project-development expertise to work with innovators on advancing their projects from the development stage to funding and ultimately, to construction. Learn more about Breakthrough Energy and Catalyst at </w:t>
      </w:r>
      <w:hyperlink r:id="rId17" w:history="1">
        <w:r w:rsidRPr="00AA7E56">
          <w:rPr>
            <w:rStyle w:val="Hyperlink"/>
            <w:rFonts w:ascii="PT Sans" w:eastAsia="PT Sans" w:hAnsi="PT Sans" w:cs="PT Sans"/>
            <w:bCs/>
            <w:iCs/>
            <w:sz w:val="24"/>
            <w:szCs w:val="24"/>
            <w:lang w:val="en-US"/>
          </w:rPr>
          <w:t>breakthroughenergy.org</w:t>
        </w:r>
      </w:hyperlink>
      <w:r w:rsidRPr="00AA7E56">
        <w:rPr>
          <w:rFonts w:ascii="PT Sans" w:eastAsia="PT Sans" w:hAnsi="PT Sans" w:cs="PT Sans"/>
          <w:bCs/>
          <w:iCs/>
          <w:color w:val="auto"/>
          <w:sz w:val="24"/>
          <w:szCs w:val="24"/>
          <w:lang w:val="en-US"/>
        </w:rPr>
        <w:t>.</w:t>
      </w:r>
    </w:p>
    <w:p w14:paraId="62E18D84" w14:textId="77777777" w:rsidR="00AF2C29" w:rsidRPr="00AA7E56" w:rsidRDefault="00AF2C29" w:rsidP="00AA7E56">
      <w:pPr>
        <w:rPr>
          <w:rFonts w:ascii="PT Sans" w:eastAsia="PT Sans" w:hAnsi="PT Sans" w:cs="PT Sans"/>
          <w:bCs/>
          <w:iCs/>
          <w:color w:val="auto"/>
          <w:sz w:val="24"/>
          <w:szCs w:val="24"/>
          <w:lang w:val="en-US"/>
        </w:rPr>
      </w:pPr>
    </w:p>
    <w:p w14:paraId="18F193F3" w14:textId="77777777" w:rsidR="00AF2C29" w:rsidRDefault="00AF2C29" w:rsidP="00AF2C29">
      <w:pPr>
        <w:rPr>
          <w:rFonts w:ascii="PT Sans" w:eastAsia="PT Sans" w:hAnsi="PT Sans" w:cs="PT Sans"/>
          <w:bCs/>
          <w:iCs/>
          <w:color w:val="auto"/>
          <w:sz w:val="24"/>
          <w:szCs w:val="24"/>
          <w:lang w:val="en-US"/>
        </w:rPr>
      </w:pPr>
      <w:r w:rsidRPr="00AA7E56">
        <w:rPr>
          <w:rFonts w:ascii="PT Sans" w:eastAsia="PT Sans" w:hAnsi="PT Sans" w:cs="PT Sans"/>
          <w:b/>
          <w:iCs/>
          <w:color w:val="auto"/>
          <w:sz w:val="24"/>
          <w:szCs w:val="24"/>
          <w:lang w:val="en-US"/>
        </w:rPr>
        <w:t xml:space="preserve">The </w:t>
      </w:r>
      <w:proofErr w:type="spellStart"/>
      <w:r w:rsidRPr="00AA7E56">
        <w:rPr>
          <w:rFonts w:ascii="PT Sans" w:eastAsia="PT Sans" w:hAnsi="PT Sans" w:cs="PT Sans"/>
          <w:b/>
          <w:iCs/>
          <w:color w:val="auto"/>
          <w:sz w:val="24"/>
          <w:szCs w:val="24"/>
          <w:lang w:val="en-US"/>
        </w:rPr>
        <w:t>InvestEU</w:t>
      </w:r>
      <w:proofErr w:type="spellEnd"/>
      <w:r w:rsidRPr="00AA7E56">
        <w:rPr>
          <w:rFonts w:ascii="PT Sans" w:eastAsia="PT Sans" w:hAnsi="PT Sans" w:cs="PT Sans"/>
          <w:b/>
          <w:iCs/>
          <w:color w:val="auto"/>
          <w:sz w:val="24"/>
          <w:szCs w:val="24"/>
          <w:lang w:val="en-US"/>
        </w:rPr>
        <w:t xml:space="preserve"> </w:t>
      </w:r>
      <w:proofErr w:type="spellStart"/>
      <w:r w:rsidRPr="00AA7E56">
        <w:rPr>
          <w:rFonts w:ascii="PT Sans" w:eastAsia="PT Sans" w:hAnsi="PT Sans" w:cs="PT Sans"/>
          <w:b/>
          <w:iCs/>
          <w:color w:val="auto"/>
          <w:sz w:val="24"/>
          <w:szCs w:val="24"/>
          <w:lang w:val="en-US"/>
        </w:rPr>
        <w:t>programme</w:t>
      </w:r>
      <w:proofErr w:type="spellEnd"/>
      <w:r w:rsidRPr="00AA7E56">
        <w:rPr>
          <w:rFonts w:ascii="PT Sans" w:eastAsia="PT Sans" w:hAnsi="PT Sans" w:cs="PT Sans"/>
          <w:bCs/>
          <w:iCs/>
          <w:color w:val="auto"/>
          <w:sz w:val="24"/>
          <w:szCs w:val="24"/>
          <w:lang w:val="en-US"/>
        </w:rPr>
        <w:t xml:space="preserve"> provides the European Union with crucial long-term funding by leveraging substantial private and public funds in support of a sustainable recovery. It also helps </w:t>
      </w:r>
      <w:proofErr w:type="spellStart"/>
      <w:r w:rsidRPr="00AA7E56">
        <w:rPr>
          <w:rFonts w:ascii="PT Sans" w:eastAsia="PT Sans" w:hAnsi="PT Sans" w:cs="PT Sans"/>
          <w:bCs/>
          <w:iCs/>
          <w:color w:val="auto"/>
          <w:sz w:val="24"/>
          <w:szCs w:val="24"/>
          <w:lang w:val="en-US"/>
        </w:rPr>
        <w:t>mobilise</w:t>
      </w:r>
      <w:proofErr w:type="spellEnd"/>
      <w:r w:rsidRPr="00AA7E56">
        <w:rPr>
          <w:rFonts w:ascii="PT Sans" w:eastAsia="PT Sans" w:hAnsi="PT Sans" w:cs="PT Sans"/>
          <w:bCs/>
          <w:iCs/>
          <w:color w:val="auto"/>
          <w:sz w:val="24"/>
          <w:szCs w:val="24"/>
          <w:lang w:val="en-US"/>
        </w:rPr>
        <w:t xml:space="preserve"> private investments for the European Union’s policy priorities, such as the European Green Deal and the digital transition. The </w:t>
      </w:r>
      <w:proofErr w:type="spellStart"/>
      <w:r w:rsidRPr="00AA7E56">
        <w:rPr>
          <w:rFonts w:ascii="PT Sans" w:eastAsia="PT Sans" w:hAnsi="PT Sans" w:cs="PT Sans"/>
          <w:bCs/>
          <w:iCs/>
          <w:color w:val="auto"/>
          <w:sz w:val="24"/>
          <w:szCs w:val="24"/>
          <w:lang w:val="en-US"/>
        </w:rPr>
        <w:t>InvestEU</w:t>
      </w:r>
      <w:proofErr w:type="spellEnd"/>
      <w:r w:rsidRPr="00AA7E56">
        <w:rPr>
          <w:rFonts w:ascii="PT Sans" w:eastAsia="PT Sans" w:hAnsi="PT Sans" w:cs="PT Sans"/>
          <w:bCs/>
          <w:iCs/>
          <w:color w:val="auto"/>
          <w:sz w:val="24"/>
          <w:szCs w:val="24"/>
          <w:lang w:val="en-US"/>
        </w:rPr>
        <w:t xml:space="preserve"> </w:t>
      </w:r>
      <w:proofErr w:type="spellStart"/>
      <w:r w:rsidRPr="00AA7E56">
        <w:rPr>
          <w:rFonts w:ascii="PT Sans" w:eastAsia="PT Sans" w:hAnsi="PT Sans" w:cs="PT Sans"/>
          <w:bCs/>
          <w:iCs/>
          <w:color w:val="auto"/>
          <w:sz w:val="24"/>
          <w:szCs w:val="24"/>
          <w:lang w:val="en-US"/>
        </w:rPr>
        <w:t>programme</w:t>
      </w:r>
      <w:proofErr w:type="spellEnd"/>
      <w:r w:rsidRPr="00AA7E56">
        <w:rPr>
          <w:rFonts w:ascii="PT Sans" w:eastAsia="PT Sans" w:hAnsi="PT Sans" w:cs="PT Sans"/>
          <w:bCs/>
          <w:iCs/>
          <w:color w:val="auto"/>
          <w:sz w:val="24"/>
          <w:szCs w:val="24"/>
          <w:lang w:val="en-US"/>
        </w:rPr>
        <w:t xml:space="preserve"> brings together under one roof the multitude of EU financial instruments currently available to support investment in the European Union, making funding for investment projects in Europe simpler, more efficient and more flexible. The </w:t>
      </w:r>
      <w:proofErr w:type="spellStart"/>
      <w:r w:rsidRPr="00AA7E56">
        <w:rPr>
          <w:rFonts w:ascii="PT Sans" w:eastAsia="PT Sans" w:hAnsi="PT Sans" w:cs="PT Sans"/>
          <w:bCs/>
          <w:iCs/>
          <w:color w:val="auto"/>
          <w:sz w:val="24"/>
          <w:szCs w:val="24"/>
          <w:lang w:val="en-US"/>
        </w:rPr>
        <w:t>programme</w:t>
      </w:r>
      <w:proofErr w:type="spellEnd"/>
      <w:r w:rsidRPr="00AA7E56">
        <w:rPr>
          <w:rFonts w:ascii="PT Sans" w:eastAsia="PT Sans" w:hAnsi="PT Sans" w:cs="PT Sans"/>
          <w:bCs/>
          <w:iCs/>
          <w:color w:val="auto"/>
          <w:sz w:val="24"/>
          <w:szCs w:val="24"/>
          <w:lang w:val="en-US"/>
        </w:rPr>
        <w:t xml:space="preserve"> consists of three components: the </w:t>
      </w:r>
      <w:proofErr w:type="spellStart"/>
      <w:r w:rsidRPr="00AA7E56">
        <w:rPr>
          <w:rFonts w:ascii="PT Sans" w:eastAsia="PT Sans" w:hAnsi="PT Sans" w:cs="PT Sans"/>
          <w:bCs/>
          <w:iCs/>
          <w:color w:val="auto"/>
          <w:sz w:val="24"/>
          <w:szCs w:val="24"/>
          <w:lang w:val="en-US"/>
        </w:rPr>
        <w:t>InvestEU</w:t>
      </w:r>
      <w:proofErr w:type="spellEnd"/>
      <w:r w:rsidRPr="00AA7E56">
        <w:rPr>
          <w:rFonts w:ascii="PT Sans" w:eastAsia="PT Sans" w:hAnsi="PT Sans" w:cs="PT Sans"/>
          <w:bCs/>
          <w:iCs/>
          <w:color w:val="auto"/>
          <w:sz w:val="24"/>
          <w:szCs w:val="24"/>
          <w:lang w:val="en-US"/>
        </w:rPr>
        <w:t xml:space="preserve"> Fund, the </w:t>
      </w:r>
      <w:proofErr w:type="spellStart"/>
      <w:r w:rsidRPr="00AA7E56">
        <w:rPr>
          <w:rFonts w:ascii="PT Sans" w:eastAsia="PT Sans" w:hAnsi="PT Sans" w:cs="PT Sans"/>
          <w:bCs/>
          <w:iCs/>
          <w:color w:val="auto"/>
          <w:sz w:val="24"/>
          <w:szCs w:val="24"/>
          <w:lang w:val="en-US"/>
        </w:rPr>
        <w:t>InvestEU</w:t>
      </w:r>
      <w:proofErr w:type="spellEnd"/>
      <w:r w:rsidRPr="00AA7E56">
        <w:rPr>
          <w:rFonts w:ascii="PT Sans" w:eastAsia="PT Sans" w:hAnsi="PT Sans" w:cs="PT Sans"/>
          <w:bCs/>
          <w:iCs/>
          <w:color w:val="auto"/>
          <w:sz w:val="24"/>
          <w:szCs w:val="24"/>
          <w:lang w:val="en-US"/>
        </w:rPr>
        <w:t xml:space="preserve"> Advisory Hub and the </w:t>
      </w:r>
      <w:proofErr w:type="spellStart"/>
      <w:r w:rsidRPr="00AA7E56">
        <w:rPr>
          <w:rFonts w:ascii="PT Sans" w:eastAsia="PT Sans" w:hAnsi="PT Sans" w:cs="PT Sans"/>
          <w:bCs/>
          <w:iCs/>
          <w:color w:val="auto"/>
          <w:sz w:val="24"/>
          <w:szCs w:val="24"/>
          <w:lang w:val="en-US"/>
        </w:rPr>
        <w:t>InvestEU</w:t>
      </w:r>
      <w:proofErr w:type="spellEnd"/>
      <w:r w:rsidRPr="00AA7E56">
        <w:rPr>
          <w:rFonts w:ascii="PT Sans" w:eastAsia="PT Sans" w:hAnsi="PT Sans" w:cs="PT Sans"/>
          <w:bCs/>
          <w:iCs/>
          <w:color w:val="auto"/>
          <w:sz w:val="24"/>
          <w:szCs w:val="24"/>
          <w:lang w:val="en-US"/>
        </w:rPr>
        <w:t xml:space="preserve"> Portal. The </w:t>
      </w:r>
      <w:proofErr w:type="spellStart"/>
      <w:r w:rsidRPr="00AA7E56">
        <w:rPr>
          <w:rFonts w:ascii="PT Sans" w:eastAsia="PT Sans" w:hAnsi="PT Sans" w:cs="PT Sans"/>
          <w:bCs/>
          <w:iCs/>
          <w:color w:val="auto"/>
          <w:sz w:val="24"/>
          <w:szCs w:val="24"/>
          <w:lang w:val="en-US"/>
        </w:rPr>
        <w:t>InvestEU</w:t>
      </w:r>
      <w:proofErr w:type="spellEnd"/>
      <w:r w:rsidRPr="00AA7E56">
        <w:rPr>
          <w:rFonts w:ascii="PT Sans" w:eastAsia="PT Sans" w:hAnsi="PT Sans" w:cs="PT Sans"/>
          <w:bCs/>
          <w:iCs/>
          <w:color w:val="auto"/>
          <w:sz w:val="24"/>
          <w:szCs w:val="24"/>
          <w:lang w:val="en-US"/>
        </w:rPr>
        <w:t xml:space="preserve"> Fund is implemented through financial partners that will invest in projects using the EU budget guarantee of €26.2 billion. The entire budget guarantee will back the investment projects of the implementing partners, increase their risk-bearing capacity and thus </w:t>
      </w:r>
      <w:proofErr w:type="spellStart"/>
      <w:r w:rsidRPr="00AA7E56">
        <w:rPr>
          <w:rFonts w:ascii="PT Sans" w:eastAsia="PT Sans" w:hAnsi="PT Sans" w:cs="PT Sans"/>
          <w:bCs/>
          <w:iCs/>
          <w:color w:val="auto"/>
          <w:sz w:val="24"/>
          <w:szCs w:val="24"/>
          <w:lang w:val="en-US"/>
        </w:rPr>
        <w:t>mobilise</w:t>
      </w:r>
      <w:proofErr w:type="spellEnd"/>
      <w:r w:rsidRPr="00AA7E56">
        <w:rPr>
          <w:rFonts w:ascii="PT Sans" w:eastAsia="PT Sans" w:hAnsi="PT Sans" w:cs="PT Sans"/>
          <w:bCs/>
          <w:iCs/>
          <w:color w:val="auto"/>
          <w:sz w:val="24"/>
          <w:szCs w:val="24"/>
          <w:lang w:val="en-US"/>
        </w:rPr>
        <w:t xml:space="preserve"> at least €372 billion in additional investment.</w:t>
      </w:r>
    </w:p>
    <w:p w14:paraId="0B5B1A72" w14:textId="77777777" w:rsidR="00AF2C29" w:rsidRDefault="00AF2C29" w:rsidP="00AF2C29">
      <w:pPr>
        <w:rPr>
          <w:rFonts w:ascii="PT Sans" w:eastAsia="PT Sans" w:hAnsi="PT Sans" w:cs="PT Sans"/>
          <w:b/>
          <w:iCs/>
          <w:color w:val="auto"/>
          <w:sz w:val="24"/>
          <w:szCs w:val="24"/>
          <w:lang w:val="en-US"/>
        </w:rPr>
        <w:sectPr w:rsidR="00AF2C29">
          <w:pgSz w:w="11900" w:h="16840"/>
          <w:pgMar w:top="1417" w:right="1417" w:bottom="1134" w:left="1417" w:header="567" w:footer="510" w:gutter="0"/>
          <w:pgNumType w:start="1"/>
          <w:cols w:space="720"/>
        </w:sectPr>
      </w:pPr>
    </w:p>
    <w:p w14:paraId="2BA8F210" w14:textId="77777777" w:rsidR="00AF2C29" w:rsidRDefault="00AF2C29" w:rsidP="00AF2C29">
      <w:pPr>
        <w:rPr>
          <w:rFonts w:ascii="PT Sans" w:eastAsia="PT Sans" w:hAnsi="PT Sans" w:cs="PT Sans"/>
          <w:b/>
          <w:iCs/>
          <w:color w:val="auto"/>
          <w:sz w:val="24"/>
          <w:szCs w:val="24"/>
          <w:lang w:val="en-US"/>
        </w:rPr>
      </w:pPr>
      <w:r w:rsidRPr="00AA7E56">
        <w:rPr>
          <w:rFonts w:ascii="PT Sans" w:eastAsia="PT Sans" w:hAnsi="PT Sans" w:cs="PT Sans"/>
          <w:b/>
          <w:iCs/>
          <w:color w:val="auto"/>
          <w:sz w:val="24"/>
          <w:szCs w:val="24"/>
          <w:lang w:val="en-US"/>
        </w:rPr>
        <w:lastRenderedPageBreak/>
        <w:t>EIB venture debt</w:t>
      </w:r>
      <w:r w:rsidRPr="00AA7E56">
        <w:rPr>
          <w:rFonts w:ascii="PT Sans" w:eastAsia="PT Sans" w:hAnsi="PT Sans" w:cs="PT Sans"/>
          <w:bCs/>
          <w:iCs/>
          <w:color w:val="auto"/>
          <w:sz w:val="24"/>
          <w:szCs w:val="24"/>
          <w:lang w:val="en-US"/>
        </w:rPr>
        <w:t xml:space="preserve"> is a quasi-equity investment product suitable for early and growth stage ventures, combining a long-term loan with an instrument linking the return to the performance of the company. Since 2015, the EIB has invested €6 billion in Venture Debt, backing over 200 companies and </w:t>
      </w:r>
      <w:proofErr w:type="spellStart"/>
      <w:r w:rsidRPr="00AA7E56">
        <w:rPr>
          <w:rFonts w:ascii="PT Sans" w:eastAsia="PT Sans" w:hAnsi="PT Sans" w:cs="PT Sans"/>
          <w:bCs/>
          <w:iCs/>
          <w:color w:val="auto"/>
          <w:sz w:val="24"/>
          <w:szCs w:val="24"/>
          <w:lang w:val="en-US"/>
        </w:rPr>
        <w:t>realising</w:t>
      </w:r>
      <w:proofErr w:type="spellEnd"/>
      <w:r w:rsidRPr="00AA7E56">
        <w:rPr>
          <w:rFonts w:ascii="PT Sans" w:eastAsia="PT Sans" w:hAnsi="PT Sans" w:cs="PT Sans"/>
          <w:bCs/>
          <w:iCs/>
          <w:color w:val="auto"/>
          <w:sz w:val="24"/>
          <w:szCs w:val="24"/>
          <w:lang w:val="en-US"/>
        </w:rPr>
        <w:t xml:space="preserve"> over 50 exits. With the backing of </w:t>
      </w:r>
      <w:proofErr w:type="spellStart"/>
      <w:r w:rsidRPr="00AA7E56">
        <w:rPr>
          <w:rFonts w:ascii="PT Sans" w:eastAsia="PT Sans" w:hAnsi="PT Sans" w:cs="PT Sans"/>
          <w:bCs/>
          <w:iCs/>
          <w:color w:val="auto"/>
          <w:sz w:val="24"/>
          <w:szCs w:val="24"/>
          <w:lang w:val="en-US"/>
        </w:rPr>
        <w:t>InvestEU</w:t>
      </w:r>
      <w:proofErr w:type="spellEnd"/>
      <w:r w:rsidRPr="00AA7E56">
        <w:rPr>
          <w:rFonts w:ascii="PT Sans" w:eastAsia="PT Sans" w:hAnsi="PT Sans" w:cs="PT Sans"/>
          <w:bCs/>
          <w:iCs/>
          <w:color w:val="auto"/>
          <w:sz w:val="24"/>
          <w:szCs w:val="24"/>
          <w:lang w:val="en-US"/>
        </w:rPr>
        <w:t>, the EIB aims to support European ventures and scale-ups in the cleantech, deep-tech and life sciences sectors</w:t>
      </w:r>
      <w:r w:rsidRPr="00AA7E56">
        <w:rPr>
          <w:rFonts w:ascii="PT Sans" w:eastAsia="PT Sans" w:hAnsi="PT Sans" w:cs="PT Sans"/>
          <w:b/>
          <w:iCs/>
          <w:color w:val="auto"/>
          <w:sz w:val="24"/>
          <w:szCs w:val="24"/>
          <w:lang w:val="en-US"/>
        </w:rPr>
        <w:t>.</w:t>
      </w:r>
    </w:p>
    <w:p w14:paraId="765E0C7C" w14:textId="77777777" w:rsidR="00AF2C29" w:rsidRDefault="00AF2C29" w:rsidP="00AF2C29">
      <w:pPr>
        <w:rPr>
          <w:rFonts w:ascii="PT Sans" w:eastAsia="PT Sans" w:hAnsi="PT Sans" w:cs="PT Sans"/>
          <w:b/>
          <w:iCs/>
          <w:color w:val="auto"/>
          <w:sz w:val="24"/>
          <w:szCs w:val="24"/>
          <w:lang w:val="en-US"/>
        </w:rPr>
      </w:pPr>
    </w:p>
    <w:p w14:paraId="04461D77" w14:textId="77777777" w:rsidR="00AA7E56" w:rsidRPr="00AA7E56" w:rsidRDefault="00AA7E56" w:rsidP="00AA7E56">
      <w:pPr>
        <w:rPr>
          <w:rFonts w:ascii="PT Sans" w:eastAsia="PT Sans" w:hAnsi="PT Sans" w:cs="PT Sans"/>
          <w:bCs/>
          <w:iCs/>
          <w:color w:val="auto"/>
          <w:sz w:val="24"/>
          <w:szCs w:val="24"/>
          <w:lang w:val="en-US"/>
        </w:rPr>
      </w:pPr>
      <w:r w:rsidRPr="00AA7E56">
        <w:rPr>
          <w:rFonts w:ascii="PT Sans" w:eastAsia="PT Sans" w:hAnsi="PT Sans" w:cs="PT Sans"/>
          <w:b/>
          <w:iCs/>
          <w:color w:val="auto"/>
          <w:sz w:val="24"/>
          <w:szCs w:val="24"/>
          <w:lang w:val="en-US"/>
        </w:rPr>
        <w:t>INERATEC</w:t>
      </w:r>
      <w:r w:rsidRPr="00AA7E56">
        <w:rPr>
          <w:rFonts w:ascii="PT Sans" w:eastAsia="PT Sans" w:hAnsi="PT Sans" w:cs="PT Sans"/>
          <w:bCs/>
          <w:iCs/>
          <w:color w:val="auto"/>
          <w:sz w:val="24"/>
          <w:szCs w:val="24"/>
          <w:lang w:val="en-US"/>
        </w:rPr>
        <w:t xml:space="preserve"> is committed to </w:t>
      </w:r>
      <w:proofErr w:type="spellStart"/>
      <w:r w:rsidRPr="00AA7E56">
        <w:rPr>
          <w:rFonts w:ascii="PT Sans" w:eastAsia="PT Sans" w:hAnsi="PT Sans" w:cs="PT Sans"/>
          <w:bCs/>
          <w:iCs/>
          <w:color w:val="auto"/>
          <w:sz w:val="24"/>
          <w:szCs w:val="24"/>
          <w:lang w:val="en-US"/>
        </w:rPr>
        <w:t>defossilizing</w:t>
      </w:r>
      <w:proofErr w:type="spellEnd"/>
      <w:r w:rsidRPr="00AA7E56">
        <w:rPr>
          <w:rFonts w:ascii="PT Sans" w:eastAsia="PT Sans" w:hAnsi="PT Sans" w:cs="PT Sans"/>
          <w:bCs/>
          <w:iCs/>
          <w:color w:val="auto"/>
          <w:sz w:val="24"/>
          <w:szCs w:val="24"/>
          <w:lang w:val="en-US"/>
        </w:rPr>
        <w:t xml:space="preserve"> and decarbonizing the world. The company produces e-Fuels and e-chemicals: carbon-neutral fossil fuel substitutes for use in the aviation, shipping and chemical industries. </w:t>
      </w:r>
    </w:p>
    <w:p w14:paraId="10E51F7F" w14:textId="1160E82D" w:rsidR="00AA7E56" w:rsidRPr="00AA7E56" w:rsidRDefault="00AA7E56" w:rsidP="00AA7E56">
      <w:pPr>
        <w:rPr>
          <w:rFonts w:ascii="PT Sans" w:eastAsia="PT Sans" w:hAnsi="PT Sans" w:cs="PT Sans"/>
          <w:bCs/>
          <w:iCs/>
          <w:color w:val="auto"/>
          <w:sz w:val="24"/>
          <w:szCs w:val="24"/>
          <w:lang w:val="en-US"/>
        </w:rPr>
      </w:pPr>
      <w:r w:rsidRPr="00AA7E56">
        <w:rPr>
          <w:rFonts w:ascii="PT Sans" w:eastAsia="PT Sans" w:hAnsi="PT Sans" w:cs="PT Sans"/>
          <w:bCs/>
          <w:iCs/>
          <w:color w:val="auto"/>
          <w:sz w:val="24"/>
          <w:szCs w:val="24"/>
          <w:lang w:val="en-US"/>
        </w:rPr>
        <w:t>Its modular, scalable plants use renewable hydrogen and biogenic CO</w:t>
      </w:r>
      <w:r w:rsidRPr="00AA7E56">
        <w:rPr>
          <w:rFonts w:ascii="PT Sans" w:eastAsia="PT Sans" w:hAnsi="PT Sans" w:cs="PT Sans"/>
          <w:bCs/>
          <w:iCs/>
          <w:color w:val="auto"/>
          <w:sz w:val="24"/>
          <w:szCs w:val="24"/>
          <w:vertAlign w:val="subscript"/>
          <w:lang w:val="en-US"/>
        </w:rPr>
        <w:t>2</w:t>
      </w:r>
      <w:r w:rsidRPr="00AA7E56">
        <w:rPr>
          <w:rFonts w:ascii="PT Sans" w:eastAsia="PT Sans" w:hAnsi="PT Sans" w:cs="PT Sans"/>
          <w:bCs/>
          <w:iCs/>
          <w:color w:val="auto"/>
          <w:sz w:val="24"/>
          <w:szCs w:val="24"/>
          <w:lang w:val="en-US"/>
        </w:rPr>
        <w:t xml:space="preserve"> to produce synthetic kerosene, gasoline, diesel, waxes, methanol or natural gas. It is building what will be the world’s largest e-fuels plant to date, in Frankfurt, which will produce up to 2,500 </w:t>
      </w:r>
      <w:proofErr w:type="spellStart"/>
      <w:r w:rsidRPr="00AA7E56">
        <w:rPr>
          <w:rFonts w:ascii="PT Sans" w:eastAsia="PT Sans" w:hAnsi="PT Sans" w:cs="PT Sans"/>
          <w:bCs/>
          <w:iCs/>
          <w:color w:val="auto"/>
          <w:sz w:val="24"/>
          <w:szCs w:val="24"/>
          <w:lang w:val="en-US"/>
        </w:rPr>
        <w:t>tonnes</w:t>
      </w:r>
      <w:proofErr w:type="spellEnd"/>
      <w:r w:rsidRPr="00AA7E56">
        <w:rPr>
          <w:rFonts w:ascii="PT Sans" w:eastAsia="PT Sans" w:hAnsi="PT Sans" w:cs="PT Sans"/>
          <w:bCs/>
          <w:iCs/>
          <w:color w:val="auto"/>
          <w:sz w:val="24"/>
          <w:szCs w:val="24"/>
          <w:lang w:val="en-US"/>
        </w:rPr>
        <w:t xml:space="preserve"> of ultra-low-carbon aviation fuel per year. The company is based in Karlsruhe, Germany and backed by diverse international investors. </w:t>
      </w:r>
      <w:hyperlink r:id="rId18" w:history="1">
        <w:r w:rsidRPr="00AA7E56">
          <w:rPr>
            <w:rStyle w:val="Hyperlink"/>
            <w:rFonts w:ascii="PT Sans" w:eastAsia="PT Sans" w:hAnsi="PT Sans" w:cs="PT Sans"/>
            <w:bCs/>
            <w:iCs/>
            <w:sz w:val="24"/>
            <w:szCs w:val="24"/>
            <w:lang w:val="en-US"/>
          </w:rPr>
          <w:t>www.ineratec.com</w:t>
        </w:r>
      </w:hyperlink>
      <w:r w:rsidRPr="00AA7E56">
        <w:rPr>
          <w:rFonts w:ascii="PT Sans" w:eastAsia="PT Sans" w:hAnsi="PT Sans" w:cs="PT Sans"/>
          <w:bCs/>
          <w:iCs/>
          <w:color w:val="auto"/>
          <w:sz w:val="24"/>
          <w:szCs w:val="24"/>
          <w:lang w:val="en-US"/>
        </w:rPr>
        <w:t xml:space="preserve"> </w:t>
      </w:r>
    </w:p>
    <w:p w14:paraId="68017586" w14:textId="77777777" w:rsidR="00AF2C29" w:rsidRDefault="00AF2C29" w:rsidP="002845CF">
      <w:pPr>
        <w:rPr>
          <w:rFonts w:ascii="PT Sans" w:eastAsia="PT Sans" w:hAnsi="PT Sans" w:cs="PT Sans"/>
          <w:b/>
          <w:iCs/>
          <w:color w:val="auto"/>
          <w:sz w:val="24"/>
          <w:szCs w:val="24"/>
          <w:lang w:val="en-US"/>
        </w:rPr>
      </w:pPr>
    </w:p>
    <w:p w14:paraId="29641F94" w14:textId="77777777" w:rsidR="00AF2C29" w:rsidRDefault="00AF2C29" w:rsidP="002845CF">
      <w:pPr>
        <w:rPr>
          <w:rFonts w:ascii="PT Sans" w:eastAsia="PT Sans" w:hAnsi="PT Sans" w:cs="PT Sans"/>
          <w:b/>
          <w:iCs/>
          <w:color w:val="auto"/>
          <w:sz w:val="24"/>
          <w:szCs w:val="24"/>
          <w:lang w:val="en-US"/>
        </w:rPr>
      </w:pPr>
    </w:p>
    <w:p w14:paraId="319599F4" w14:textId="77777777" w:rsidR="00AF2C29" w:rsidRDefault="00AF2C29" w:rsidP="002845CF">
      <w:pPr>
        <w:rPr>
          <w:rFonts w:ascii="PT Sans" w:eastAsia="PT Sans" w:hAnsi="PT Sans" w:cs="PT Sans"/>
          <w:b/>
          <w:iCs/>
          <w:color w:val="auto"/>
          <w:sz w:val="24"/>
          <w:szCs w:val="24"/>
          <w:lang w:val="en-US"/>
        </w:rPr>
      </w:pPr>
    </w:p>
    <w:p w14:paraId="566A4F30" w14:textId="77777777" w:rsidR="00AF2C29" w:rsidRDefault="00AF2C29" w:rsidP="002845CF">
      <w:pPr>
        <w:rPr>
          <w:rFonts w:ascii="PT Sans" w:eastAsia="PT Sans" w:hAnsi="PT Sans" w:cs="PT Sans"/>
          <w:b/>
          <w:iCs/>
          <w:color w:val="auto"/>
          <w:sz w:val="24"/>
          <w:szCs w:val="24"/>
          <w:lang w:val="en-US"/>
        </w:rPr>
      </w:pPr>
    </w:p>
    <w:p w14:paraId="3319EC77" w14:textId="77777777" w:rsidR="00AF2C29" w:rsidRDefault="00AF2C29" w:rsidP="002845CF">
      <w:pPr>
        <w:rPr>
          <w:rFonts w:ascii="PT Sans" w:eastAsia="PT Sans" w:hAnsi="PT Sans" w:cs="PT Sans"/>
          <w:b/>
          <w:iCs/>
          <w:color w:val="auto"/>
          <w:sz w:val="24"/>
          <w:szCs w:val="24"/>
          <w:lang w:val="en-US"/>
        </w:rPr>
      </w:pPr>
    </w:p>
    <w:p w14:paraId="025C91E3" w14:textId="77777777" w:rsidR="00AF2C29" w:rsidRDefault="00AF2C29" w:rsidP="002845CF">
      <w:pPr>
        <w:rPr>
          <w:rFonts w:ascii="PT Sans" w:eastAsia="PT Sans" w:hAnsi="PT Sans" w:cs="PT Sans"/>
          <w:b/>
          <w:iCs/>
          <w:color w:val="auto"/>
          <w:sz w:val="24"/>
          <w:szCs w:val="24"/>
          <w:lang w:val="en-US"/>
        </w:rPr>
      </w:pPr>
    </w:p>
    <w:p w14:paraId="429D5D2E" w14:textId="77777777" w:rsidR="001A0665" w:rsidRDefault="001A0665" w:rsidP="002845CF">
      <w:pPr>
        <w:rPr>
          <w:rFonts w:ascii="PT Sans" w:eastAsia="PT Sans" w:hAnsi="PT Sans" w:cs="PT Sans"/>
          <w:b/>
          <w:iCs/>
          <w:color w:val="auto"/>
          <w:sz w:val="24"/>
          <w:szCs w:val="24"/>
          <w:lang w:val="en-US"/>
        </w:rPr>
      </w:pPr>
    </w:p>
    <w:p w14:paraId="4A2E0D50" w14:textId="77777777" w:rsidR="00AF2C29" w:rsidRDefault="00AF2C29" w:rsidP="002845CF">
      <w:pPr>
        <w:rPr>
          <w:rFonts w:ascii="PT Sans" w:eastAsia="PT Sans" w:hAnsi="PT Sans" w:cs="PT Sans"/>
          <w:b/>
          <w:iCs/>
          <w:color w:val="auto"/>
          <w:sz w:val="24"/>
          <w:szCs w:val="24"/>
          <w:lang w:val="en-US"/>
        </w:rPr>
      </w:pPr>
    </w:p>
    <w:p w14:paraId="138984CB" w14:textId="77777777" w:rsidR="00AF2C29" w:rsidRDefault="00AF2C29" w:rsidP="002845CF">
      <w:pPr>
        <w:rPr>
          <w:rFonts w:ascii="PT Sans" w:eastAsia="PT Sans" w:hAnsi="PT Sans" w:cs="PT Sans"/>
          <w:b/>
          <w:iCs/>
          <w:color w:val="auto"/>
          <w:sz w:val="24"/>
          <w:szCs w:val="24"/>
          <w:lang w:val="en-US"/>
        </w:rPr>
      </w:pPr>
    </w:p>
    <w:p w14:paraId="38B52FAA" w14:textId="77777777" w:rsidR="00AF2C29" w:rsidRDefault="00AF2C29" w:rsidP="002845CF">
      <w:pPr>
        <w:rPr>
          <w:rFonts w:ascii="PT Sans" w:eastAsia="PT Sans" w:hAnsi="PT Sans" w:cs="PT Sans"/>
          <w:b/>
          <w:iCs/>
          <w:color w:val="auto"/>
          <w:sz w:val="24"/>
          <w:szCs w:val="24"/>
          <w:lang w:val="en-US"/>
        </w:rPr>
      </w:pPr>
    </w:p>
    <w:p w14:paraId="7AA72C62" w14:textId="77777777" w:rsidR="00AF2C29" w:rsidRDefault="00AF2C29" w:rsidP="002845CF">
      <w:pPr>
        <w:rPr>
          <w:rFonts w:ascii="PT Sans" w:eastAsia="PT Sans" w:hAnsi="PT Sans" w:cs="PT Sans"/>
          <w:b/>
          <w:iCs/>
          <w:color w:val="auto"/>
          <w:sz w:val="24"/>
          <w:szCs w:val="24"/>
          <w:lang w:val="en-US"/>
        </w:rPr>
      </w:pPr>
    </w:p>
    <w:p w14:paraId="22925F91" w14:textId="533FECBF" w:rsidR="002845CF" w:rsidRPr="002845CF" w:rsidRDefault="00036212" w:rsidP="002845CF">
      <w:pPr>
        <w:rPr>
          <w:rFonts w:ascii="PT Sans" w:eastAsia="PT Sans" w:hAnsi="PT Sans" w:cs="PT Sans"/>
          <w:b/>
          <w:lang w:val="en-US"/>
        </w:rPr>
      </w:pPr>
      <w:r w:rsidRPr="00FB300D">
        <w:rPr>
          <w:rFonts w:ascii="PT Sans" w:eastAsia="PT Sans" w:hAnsi="PT Sans" w:cs="PT Sans"/>
          <w:b/>
          <w:lang w:val="en-US"/>
        </w:rPr>
        <w:t>Media contacts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8"/>
        <w:gridCol w:w="4528"/>
      </w:tblGrid>
      <w:tr w:rsidR="002845CF" w:rsidRPr="00CC51F8" w14:paraId="08D52E8E" w14:textId="77777777" w:rsidTr="00AB6F5B">
        <w:tc>
          <w:tcPr>
            <w:tcW w:w="4528" w:type="dxa"/>
          </w:tcPr>
          <w:p w14:paraId="00DAD1A1" w14:textId="77777777" w:rsidR="002845CF" w:rsidRPr="00454342" w:rsidRDefault="002845CF" w:rsidP="002845CF">
            <w:pPr>
              <w:rPr>
                <w:rFonts w:ascii="PT Sans" w:eastAsia="PT Sans" w:hAnsi="PT Sans" w:cs="PT Sans"/>
              </w:rPr>
            </w:pPr>
            <w:r w:rsidRPr="00454342">
              <w:rPr>
                <w:rFonts w:ascii="PT Sans" w:eastAsia="PT Sans" w:hAnsi="PT Sans" w:cs="PT Sans"/>
              </w:rPr>
              <w:t>INERATEC GmbH</w:t>
            </w:r>
          </w:p>
          <w:p w14:paraId="65A8B559" w14:textId="77777777" w:rsidR="002845CF" w:rsidRPr="00454342" w:rsidRDefault="002845CF" w:rsidP="002845CF">
            <w:pPr>
              <w:rPr>
                <w:rFonts w:ascii="PT Sans" w:eastAsia="PT Sans" w:hAnsi="PT Sans" w:cs="PT Sans"/>
                <w:sz w:val="20"/>
                <w:szCs w:val="20"/>
              </w:rPr>
            </w:pPr>
            <w:r w:rsidRPr="00454342">
              <w:rPr>
                <w:rFonts w:ascii="PT Sans" w:eastAsia="PT Sans" w:hAnsi="PT Sans" w:cs="PT Sans"/>
                <w:sz w:val="20"/>
                <w:szCs w:val="20"/>
              </w:rPr>
              <w:t>Isabel Fisch</w:t>
            </w:r>
          </w:p>
          <w:p w14:paraId="3B2750CD" w14:textId="0F039AEC" w:rsidR="00395A03" w:rsidRPr="00454342" w:rsidRDefault="00B40A05" w:rsidP="002845CF">
            <w:pPr>
              <w:rPr>
                <w:rFonts w:ascii="PT Sans" w:eastAsia="PT Sans" w:hAnsi="PT Sans" w:cs="PT Sans"/>
                <w:sz w:val="20"/>
                <w:szCs w:val="20"/>
              </w:rPr>
            </w:pPr>
            <w:r w:rsidRPr="00454342">
              <w:rPr>
                <w:rFonts w:ascii="PT Sans" w:eastAsia="PT Sans" w:hAnsi="PT Sans" w:cs="PT Sans"/>
                <w:sz w:val="20"/>
                <w:szCs w:val="20"/>
              </w:rPr>
              <w:t>+ 49 162</w:t>
            </w:r>
            <w:r w:rsidR="0033324B">
              <w:rPr>
                <w:rFonts w:ascii="PT Sans" w:eastAsia="PT Sans" w:hAnsi="PT Sans" w:cs="PT Sans"/>
                <w:sz w:val="20"/>
                <w:szCs w:val="20"/>
              </w:rPr>
              <w:t xml:space="preserve"> </w:t>
            </w:r>
            <w:r w:rsidRPr="00454342">
              <w:rPr>
                <w:rFonts w:ascii="PT Sans" w:eastAsia="PT Sans" w:hAnsi="PT Sans" w:cs="PT Sans"/>
                <w:sz w:val="20"/>
                <w:szCs w:val="20"/>
              </w:rPr>
              <w:t>1852663</w:t>
            </w:r>
          </w:p>
          <w:p w14:paraId="15A7B051" w14:textId="66C23A16" w:rsidR="002845CF" w:rsidRDefault="00A955A2" w:rsidP="002845CF">
            <w:pPr>
              <w:rPr>
                <w:rFonts w:ascii="PT Sans" w:eastAsia="PT Sans" w:hAnsi="PT Sans" w:cs="PT Sans"/>
                <w:sz w:val="20"/>
                <w:szCs w:val="20"/>
                <w:u w:val="single"/>
              </w:rPr>
            </w:pPr>
            <w:hyperlink r:id="rId19" w:history="1">
              <w:r w:rsidRPr="00234055">
                <w:rPr>
                  <w:rStyle w:val="Hyperlink"/>
                  <w:rFonts w:ascii="PT Sans" w:eastAsia="PT Sans" w:hAnsi="PT Sans" w:cs="PT Sans"/>
                  <w:sz w:val="20"/>
                  <w:szCs w:val="20"/>
                </w:rPr>
                <w:t>isabel.fisch@ineratec.de</w:t>
              </w:r>
            </w:hyperlink>
          </w:p>
          <w:p w14:paraId="1205E4FA" w14:textId="531988F3" w:rsidR="00A955A2" w:rsidRPr="00454342" w:rsidRDefault="00A955A2" w:rsidP="002845CF">
            <w:pPr>
              <w:rPr>
                <w:rFonts w:ascii="PT Sans" w:eastAsia="PT Sans" w:hAnsi="PT Sans" w:cs="PT Sans"/>
                <w:sz w:val="20"/>
                <w:szCs w:val="20"/>
              </w:rPr>
            </w:pPr>
          </w:p>
        </w:tc>
        <w:tc>
          <w:tcPr>
            <w:tcW w:w="4528" w:type="dxa"/>
          </w:tcPr>
          <w:p w14:paraId="072DF323" w14:textId="548A63B1" w:rsidR="002845CF" w:rsidRPr="00F3779C" w:rsidRDefault="002845CF" w:rsidP="00A955A2">
            <w:pPr>
              <w:rPr>
                <w:rFonts w:ascii="PT Sans" w:eastAsia="PT Sans" w:hAnsi="PT Sans" w:cs="PT Sans"/>
                <w:sz w:val="20"/>
                <w:szCs w:val="20"/>
              </w:rPr>
            </w:pPr>
          </w:p>
        </w:tc>
      </w:tr>
      <w:tr w:rsidR="002845CF" w:rsidRPr="001A0665" w14:paraId="321424D7" w14:textId="77777777" w:rsidTr="00AB6F5B">
        <w:tc>
          <w:tcPr>
            <w:tcW w:w="4528" w:type="dxa"/>
          </w:tcPr>
          <w:p w14:paraId="7567B0D5" w14:textId="32421184" w:rsidR="002845CF" w:rsidRPr="0033324B" w:rsidRDefault="0033324B" w:rsidP="00DE62E6">
            <w:pPr>
              <w:rPr>
                <w:rFonts w:ascii="PT Sans" w:eastAsia="PT Sans" w:hAnsi="PT Sans" w:cs="PT Sans"/>
                <w:sz w:val="20"/>
                <w:szCs w:val="20"/>
                <w:lang w:val="en-US"/>
              </w:rPr>
            </w:pPr>
            <w:r w:rsidRPr="0033324B">
              <w:rPr>
                <w:rFonts w:ascii="PT Sans" w:eastAsia="PT Sans" w:hAnsi="PT Sans" w:cs="PT Sans"/>
                <w:sz w:val="20"/>
                <w:szCs w:val="20"/>
                <w:lang w:val="en-US"/>
              </w:rPr>
              <w:t>The European Investment Bank (</w:t>
            </w:r>
            <w:proofErr w:type="spellStart"/>
            <w:r w:rsidRPr="0033324B">
              <w:rPr>
                <w:rFonts w:ascii="PT Sans" w:eastAsia="PT Sans" w:hAnsi="PT Sans" w:cs="PT Sans"/>
                <w:sz w:val="20"/>
                <w:szCs w:val="20"/>
                <w:lang w:val="en-US"/>
              </w:rPr>
              <w:t>ElB</w:t>
            </w:r>
            <w:proofErr w:type="spellEnd"/>
            <w:r w:rsidRPr="0033324B">
              <w:rPr>
                <w:rFonts w:ascii="PT Sans" w:eastAsia="PT Sans" w:hAnsi="PT Sans" w:cs="PT Sans"/>
                <w:sz w:val="20"/>
                <w:szCs w:val="20"/>
                <w:lang w:val="en-US"/>
              </w:rPr>
              <w:t>)</w:t>
            </w:r>
            <w:r>
              <w:rPr>
                <w:rFonts w:ascii="PT Sans" w:eastAsia="PT Sans" w:hAnsi="PT Sans" w:cs="PT Sans"/>
                <w:sz w:val="20"/>
                <w:szCs w:val="20"/>
                <w:lang w:val="en-US"/>
              </w:rPr>
              <w:br/>
            </w:r>
            <w:proofErr w:type="spellStart"/>
            <w:r>
              <w:rPr>
                <w:rFonts w:ascii="PT Sans" w:eastAsia="PT Sans" w:hAnsi="PT Sans" w:cs="PT Sans"/>
                <w:sz w:val="20"/>
                <w:szCs w:val="20"/>
                <w:lang w:val="en-US"/>
              </w:rPr>
              <w:t>Donata</w:t>
            </w:r>
            <w:proofErr w:type="spellEnd"/>
            <w:r>
              <w:rPr>
                <w:rFonts w:ascii="PT Sans" w:eastAsia="PT Sans" w:hAnsi="PT Sans" w:cs="PT Sans"/>
                <w:sz w:val="20"/>
                <w:szCs w:val="20"/>
                <w:lang w:val="en-US"/>
              </w:rPr>
              <w:t xml:space="preserve"> Riedel</w:t>
            </w:r>
            <w:r>
              <w:rPr>
                <w:rFonts w:ascii="PT Sans" w:eastAsia="PT Sans" w:hAnsi="PT Sans" w:cs="PT Sans"/>
                <w:sz w:val="20"/>
                <w:szCs w:val="20"/>
                <w:lang w:val="en-US"/>
              </w:rPr>
              <w:br/>
              <w:t>+49 151 14659021</w:t>
            </w:r>
            <w:r>
              <w:rPr>
                <w:rFonts w:ascii="PT Sans" w:eastAsia="PT Sans" w:hAnsi="PT Sans" w:cs="PT Sans"/>
                <w:sz w:val="20"/>
                <w:szCs w:val="20"/>
                <w:lang w:val="en-US"/>
              </w:rPr>
              <w:br/>
            </w:r>
            <w:hyperlink r:id="rId20" w:history="1">
              <w:r w:rsidR="00AB6F5B" w:rsidRPr="00AA7E56">
                <w:rPr>
                  <w:rStyle w:val="Hyperlink"/>
                  <w:rFonts w:ascii="PT Sans" w:eastAsia="PT Sans" w:hAnsi="PT Sans" w:cs="PT Sans"/>
                  <w:sz w:val="20"/>
                  <w:szCs w:val="20"/>
                  <w:lang w:val="en-US"/>
                </w:rPr>
                <w:t>d.riedel@eib.org</w:t>
              </w:r>
            </w:hyperlink>
          </w:p>
        </w:tc>
        <w:tc>
          <w:tcPr>
            <w:tcW w:w="4528" w:type="dxa"/>
          </w:tcPr>
          <w:p w14:paraId="25F7E4E0" w14:textId="5C1F580A" w:rsidR="002845CF" w:rsidRPr="0033324B" w:rsidRDefault="002845CF" w:rsidP="00DE62E6">
            <w:pPr>
              <w:rPr>
                <w:rFonts w:ascii="PT Sans" w:eastAsia="PT Sans" w:hAnsi="PT Sans" w:cs="PT Sans"/>
                <w:sz w:val="20"/>
                <w:szCs w:val="20"/>
                <w:lang w:val="en-US"/>
              </w:rPr>
            </w:pPr>
          </w:p>
        </w:tc>
      </w:tr>
    </w:tbl>
    <w:p w14:paraId="3BC03D6F" w14:textId="50CADE3E" w:rsidR="00E12BD2" w:rsidRPr="0033324B" w:rsidRDefault="00E12BD2" w:rsidP="00AF2C29">
      <w:pPr>
        <w:spacing w:line="240" w:lineRule="auto"/>
        <w:rPr>
          <w:rFonts w:ascii="PT Sans" w:eastAsia="PT Sans" w:hAnsi="PT Sans" w:cs="PT Sans"/>
          <w:sz w:val="20"/>
          <w:szCs w:val="20"/>
          <w:lang w:val="en-US"/>
        </w:rPr>
      </w:pPr>
    </w:p>
    <w:sectPr w:rsidR="00E12BD2" w:rsidRPr="0033324B">
      <w:pgSz w:w="11900" w:h="16840"/>
      <w:pgMar w:top="1417" w:right="1417" w:bottom="1134" w:left="1417" w:header="567" w:footer="51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47E2FD" w14:textId="77777777" w:rsidR="00E95BF5" w:rsidRDefault="00E95BF5">
      <w:pPr>
        <w:spacing w:after="0" w:line="240" w:lineRule="auto"/>
      </w:pPr>
      <w:r>
        <w:separator/>
      </w:r>
    </w:p>
  </w:endnote>
  <w:endnote w:type="continuationSeparator" w:id="0">
    <w:p w14:paraId="4EDD22B1" w14:textId="77777777" w:rsidR="00E95BF5" w:rsidRDefault="00E95B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w:panose1 w:val="00000000000000000000"/>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PT Sans">
    <w:altName w:val="Arial"/>
    <w:panose1 w:val="020B0503020203020204"/>
    <w:charset w:val="00"/>
    <w:family w:val="swiss"/>
    <w:pitch w:val="variable"/>
    <w:sig w:usb0="A00002EF" w:usb1="5000204B" w:usb2="00000000" w:usb3="00000000" w:csb0="00000097"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03D79" w14:textId="77777777" w:rsidR="00E12BD2" w:rsidRDefault="00036212">
    <w:pPr>
      <w:pBdr>
        <w:top w:val="nil"/>
        <w:left w:val="nil"/>
        <w:bottom w:val="nil"/>
        <w:right w:val="nil"/>
        <w:between w:val="nil"/>
      </w:pBdr>
      <w:tabs>
        <w:tab w:val="center" w:pos="4536"/>
        <w:tab w:val="right" w:pos="9072"/>
      </w:tabs>
      <w:spacing w:after="0" w:line="192" w:lineRule="auto"/>
    </w:pPr>
    <w:r>
      <w:rPr>
        <w:rFonts w:ascii="PT Sans" w:eastAsia="PT Sans" w:hAnsi="PT Sans" w:cs="PT Sans"/>
        <w:sz w:val="16"/>
        <w:szCs w:val="16"/>
      </w:rPr>
      <w:t xml:space="preserve">Siemensallee 84          </w:t>
    </w:r>
    <w:r>
      <w:rPr>
        <w:rFonts w:ascii="PT Sans" w:eastAsia="PT Sans" w:hAnsi="PT Sans" w:cs="PT Sans"/>
        <w:b/>
        <w:sz w:val="16"/>
        <w:szCs w:val="16"/>
      </w:rPr>
      <w:t xml:space="preserve"> T  </w:t>
    </w:r>
    <w:r>
      <w:rPr>
        <w:rFonts w:ascii="PT Sans" w:eastAsia="PT Sans" w:hAnsi="PT Sans" w:cs="PT Sans"/>
        <w:sz w:val="16"/>
        <w:szCs w:val="16"/>
      </w:rPr>
      <w:t>+49 721 864 844 60</w:t>
    </w:r>
    <w:r>
      <w:tab/>
    </w:r>
    <w:r>
      <w:br/>
    </w:r>
    <w:r>
      <w:rPr>
        <w:rFonts w:ascii="PT Sans" w:eastAsia="PT Sans" w:hAnsi="PT Sans" w:cs="PT Sans"/>
        <w:sz w:val="16"/>
        <w:szCs w:val="16"/>
      </w:rPr>
      <w:t xml:space="preserve">76187 Karlsruhe           </w:t>
    </w:r>
    <w:r>
      <w:rPr>
        <w:rFonts w:ascii="PT Sans" w:eastAsia="PT Sans" w:hAnsi="PT Sans" w:cs="PT Sans"/>
        <w:b/>
        <w:sz w:val="16"/>
        <w:szCs w:val="16"/>
      </w:rPr>
      <w:t>M</w:t>
    </w:r>
    <w:r>
      <w:rPr>
        <w:rFonts w:ascii="PT Sans" w:eastAsia="PT Sans" w:hAnsi="PT Sans" w:cs="PT Sans"/>
        <w:sz w:val="16"/>
        <w:szCs w:val="16"/>
      </w:rPr>
      <w:t xml:space="preserve">  presse@ineratec.de</w:t>
    </w:r>
    <w:r>
      <w:tab/>
    </w:r>
    <w:r>
      <w:tab/>
    </w:r>
    <w:r>
      <w:rPr>
        <w:noProof/>
      </w:rPr>
      <w:drawing>
        <wp:inline distT="0" distB="0" distL="0" distR="0" wp14:anchorId="3BC03D7C" wp14:editId="2456BFF6">
          <wp:extent cx="1138968" cy="107718"/>
          <wp:effectExtent l="0" t="0" r="4445" b="6985"/>
          <wp:docPr id="11" name="image3.png"/>
          <wp:cNvGraphicFramePr/>
          <a:graphic xmlns:a="http://schemas.openxmlformats.org/drawingml/2006/main">
            <a:graphicData uri="http://schemas.openxmlformats.org/drawingml/2006/picture">
              <pic:pic xmlns:pic="http://schemas.openxmlformats.org/drawingml/2006/picture">
                <pic:nvPicPr>
                  <pic:cNvPr id="11" name="image3.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1138968" cy="107718"/>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40477B" w14:textId="77777777" w:rsidR="00E95BF5" w:rsidRDefault="00E95BF5">
      <w:pPr>
        <w:spacing w:after="0" w:line="240" w:lineRule="auto"/>
      </w:pPr>
      <w:r>
        <w:separator/>
      </w:r>
    </w:p>
  </w:footnote>
  <w:footnote w:type="continuationSeparator" w:id="0">
    <w:p w14:paraId="5711A6E7" w14:textId="77777777" w:rsidR="00E95BF5" w:rsidRDefault="00E95B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03D78" w14:textId="3C70C5A2" w:rsidR="00E12BD2" w:rsidRDefault="00B85ACE">
    <w:pPr>
      <w:pBdr>
        <w:top w:val="nil"/>
        <w:left w:val="nil"/>
        <w:bottom w:val="nil"/>
        <w:right w:val="nil"/>
        <w:between w:val="nil"/>
      </w:pBdr>
      <w:tabs>
        <w:tab w:val="center" w:pos="4536"/>
        <w:tab w:val="right" w:pos="9072"/>
      </w:tabs>
      <w:spacing w:after="0" w:line="240" w:lineRule="auto"/>
    </w:pPr>
    <w:r>
      <w:rPr>
        <w:noProof/>
      </w:rPr>
      <w:drawing>
        <wp:anchor distT="0" distB="0" distL="114300" distR="114300" simplePos="0" relativeHeight="251658240" behindDoc="0" locked="0" layoutInCell="1" hidden="0" allowOverlap="1" wp14:anchorId="3BC03D7A" wp14:editId="66D68356">
          <wp:simplePos x="0" y="0"/>
          <wp:positionH relativeFrom="column">
            <wp:posOffset>2346325</wp:posOffset>
          </wp:positionH>
          <wp:positionV relativeFrom="paragraph">
            <wp:posOffset>-10160</wp:posOffset>
          </wp:positionV>
          <wp:extent cx="1057275" cy="434975"/>
          <wp:effectExtent l="0" t="0" r="9525" b="3175"/>
          <wp:wrapSquare wrapText="bothSides" distT="0" distB="0" distL="114300" distR="114300"/>
          <wp:docPr id="9" name="image1.png"/>
          <wp:cNvGraphicFramePr/>
          <a:graphic xmlns:a="http://schemas.openxmlformats.org/drawingml/2006/main">
            <a:graphicData uri="http://schemas.openxmlformats.org/drawingml/2006/picture">
              <pic:pic xmlns:pic="http://schemas.openxmlformats.org/drawingml/2006/picture">
                <pic:nvPicPr>
                  <pic:cNvPr id="9" name="image1.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1057275" cy="434975"/>
                  </a:xfrm>
                  <a:prstGeom prst="rect">
                    <a:avLst/>
                  </a:prstGeom>
                  <a:ln/>
                </pic:spPr>
              </pic:pic>
            </a:graphicData>
          </a:graphic>
          <wp14:sizeRelV relativeFrom="margin">
            <wp14:pctHeight>0</wp14:pctHeight>
          </wp14:sizeRelV>
        </wp:anchor>
      </w:drawing>
    </w:r>
    <w:r w:rsidR="00036212">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33F4E"/>
    <w:multiLevelType w:val="hybridMultilevel"/>
    <w:tmpl w:val="8A4E34C8"/>
    <w:lvl w:ilvl="0" w:tplc="36D6270C">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8F7486F"/>
    <w:multiLevelType w:val="multilevel"/>
    <w:tmpl w:val="FFFABC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231276752">
    <w:abstractNumId w:val="1"/>
  </w:num>
  <w:num w:numId="2" w16cid:durableId="6631659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2BD2"/>
    <w:rsid w:val="00006BED"/>
    <w:rsid w:val="00007BD6"/>
    <w:rsid w:val="00013F54"/>
    <w:rsid w:val="00014D5A"/>
    <w:rsid w:val="00022A2C"/>
    <w:rsid w:val="00036212"/>
    <w:rsid w:val="0003685E"/>
    <w:rsid w:val="00040562"/>
    <w:rsid w:val="00064604"/>
    <w:rsid w:val="00064B97"/>
    <w:rsid w:val="00070745"/>
    <w:rsid w:val="00072156"/>
    <w:rsid w:val="00091B85"/>
    <w:rsid w:val="00093D49"/>
    <w:rsid w:val="000A4B98"/>
    <w:rsid w:val="000A51BD"/>
    <w:rsid w:val="000A7036"/>
    <w:rsid w:val="000B00B1"/>
    <w:rsid w:val="000B6CB9"/>
    <w:rsid w:val="000C12D7"/>
    <w:rsid w:val="000C4E3C"/>
    <w:rsid w:val="000C5894"/>
    <w:rsid w:val="000E02DD"/>
    <w:rsid w:val="00112B2D"/>
    <w:rsid w:val="00114A28"/>
    <w:rsid w:val="00115B2A"/>
    <w:rsid w:val="001610C0"/>
    <w:rsid w:val="00176D0E"/>
    <w:rsid w:val="00177112"/>
    <w:rsid w:val="00191B4A"/>
    <w:rsid w:val="001973F8"/>
    <w:rsid w:val="001A0665"/>
    <w:rsid w:val="00230668"/>
    <w:rsid w:val="002352C1"/>
    <w:rsid w:val="00252356"/>
    <w:rsid w:val="0025403C"/>
    <w:rsid w:val="00257F40"/>
    <w:rsid w:val="00271009"/>
    <w:rsid w:val="00272A9D"/>
    <w:rsid w:val="002813DB"/>
    <w:rsid w:val="00283C8F"/>
    <w:rsid w:val="002845CF"/>
    <w:rsid w:val="0029088B"/>
    <w:rsid w:val="00295724"/>
    <w:rsid w:val="002A1768"/>
    <w:rsid w:val="002B133A"/>
    <w:rsid w:val="002C0F42"/>
    <w:rsid w:val="002C1C2A"/>
    <w:rsid w:val="002D0292"/>
    <w:rsid w:val="002D50EE"/>
    <w:rsid w:val="002E45C4"/>
    <w:rsid w:val="00304188"/>
    <w:rsid w:val="0031106F"/>
    <w:rsid w:val="00312603"/>
    <w:rsid w:val="00326441"/>
    <w:rsid w:val="0033324B"/>
    <w:rsid w:val="0034174F"/>
    <w:rsid w:val="00343E6F"/>
    <w:rsid w:val="00344F9F"/>
    <w:rsid w:val="00391FBB"/>
    <w:rsid w:val="00395A03"/>
    <w:rsid w:val="003A2D4B"/>
    <w:rsid w:val="003A3187"/>
    <w:rsid w:val="003A3B2A"/>
    <w:rsid w:val="00401DD1"/>
    <w:rsid w:val="004172C8"/>
    <w:rsid w:val="00421F11"/>
    <w:rsid w:val="00426F01"/>
    <w:rsid w:val="004271E4"/>
    <w:rsid w:val="0043178E"/>
    <w:rsid w:val="00454342"/>
    <w:rsid w:val="0046073D"/>
    <w:rsid w:val="00462A8D"/>
    <w:rsid w:val="00464974"/>
    <w:rsid w:val="00486119"/>
    <w:rsid w:val="00487A83"/>
    <w:rsid w:val="004B5BCB"/>
    <w:rsid w:val="004C720C"/>
    <w:rsid w:val="004C749C"/>
    <w:rsid w:val="004F21B4"/>
    <w:rsid w:val="005038EB"/>
    <w:rsid w:val="00504FB0"/>
    <w:rsid w:val="00513053"/>
    <w:rsid w:val="00521C8C"/>
    <w:rsid w:val="0052781B"/>
    <w:rsid w:val="00530C54"/>
    <w:rsid w:val="005462DA"/>
    <w:rsid w:val="00571B93"/>
    <w:rsid w:val="005832FE"/>
    <w:rsid w:val="0058631A"/>
    <w:rsid w:val="005958BC"/>
    <w:rsid w:val="005977CC"/>
    <w:rsid w:val="005A243B"/>
    <w:rsid w:val="005D451F"/>
    <w:rsid w:val="005D7FB2"/>
    <w:rsid w:val="005F6F74"/>
    <w:rsid w:val="00603123"/>
    <w:rsid w:val="006321E4"/>
    <w:rsid w:val="00661A4E"/>
    <w:rsid w:val="00677115"/>
    <w:rsid w:val="006810F3"/>
    <w:rsid w:val="00682F3C"/>
    <w:rsid w:val="00687939"/>
    <w:rsid w:val="006931F7"/>
    <w:rsid w:val="00694AA3"/>
    <w:rsid w:val="00696E47"/>
    <w:rsid w:val="00696F5D"/>
    <w:rsid w:val="006A607B"/>
    <w:rsid w:val="006A7019"/>
    <w:rsid w:val="006C3DED"/>
    <w:rsid w:val="006D503F"/>
    <w:rsid w:val="007000B7"/>
    <w:rsid w:val="00705405"/>
    <w:rsid w:val="00706F90"/>
    <w:rsid w:val="007147D6"/>
    <w:rsid w:val="007149D9"/>
    <w:rsid w:val="00721A98"/>
    <w:rsid w:val="00735EDA"/>
    <w:rsid w:val="007544D4"/>
    <w:rsid w:val="00764818"/>
    <w:rsid w:val="007754E4"/>
    <w:rsid w:val="00795742"/>
    <w:rsid w:val="007C7D61"/>
    <w:rsid w:val="007D3582"/>
    <w:rsid w:val="007E126C"/>
    <w:rsid w:val="007E2BCF"/>
    <w:rsid w:val="008005C5"/>
    <w:rsid w:val="00807E8E"/>
    <w:rsid w:val="0082046C"/>
    <w:rsid w:val="0085673A"/>
    <w:rsid w:val="00867378"/>
    <w:rsid w:val="0088294C"/>
    <w:rsid w:val="00886E71"/>
    <w:rsid w:val="008A2177"/>
    <w:rsid w:val="008B1856"/>
    <w:rsid w:val="008B5895"/>
    <w:rsid w:val="008B689E"/>
    <w:rsid w:val="008C119B"/>
    <w:rsid w:val="008E5F67"/>
    <w:rsid w:val="00914124"/>
    <w:rsid w:val="009225A4"/>
    <w:rsid w:val="009321B8"/>
    <w:rsid w:val="009403D0"/>
    <w:rsid w:val="009450A1"/>
    <w:rsid w:val="009471BA"/>
    <w:rsid w:val="00965526"/>
    <w:rsid w:val="00967C98"/>
    <w:rsid w:val="009713F6"/>
    <w:rsid w:val="00976B0F"/>
    <w:rsid w:val="00986158"/>
    <w:rsid w:val="009904FC"/>
    <w:rsid w:val="009939BE"/>
    <w:rsid w:val="009A7AA3"/>
    <w:rsid w:val="009B2D67"/>
    <w:rsid w:val="009C122B"/>
    <w:rsid w:val="009C7CFC"/>
    <w:rsid w:val="009D09AD"/>
    <w:rsid w:val="009E48D7"/>
    <w:rsid w:val="009F7EBB"/>
    <w:rsid w:val="00A122BA"/>
    <w:rsid w:val="00A250F1"/>
    <w:rsid w:val="00A50ADA"/>
    <w:rsid w:val="00A52BEB"/>
    <w:rsid w:val="00A56C45"/>
    <w:rsid w:val="00A83E31"/>
    <w:rsid w:val="00A90CAF"/>
    <w:rsid w:val="00A955A2"/>
    <w:rsid w:val="00A96BC8"/>
    <w:rsid w:val="00AA0375"/>
    <w:rsid w:val="00AA5474"/>
    <w:rsid w:val="00AA7E56"/>
    <w:rsid w:val="00AB6F5B"/>
    <w:rsid w:val="00AB773D"/>
    <w:rsid w:val="00AB7969"/>
    <w:rsid w:val="00AD26DB"/>
    <w:rsid w:val="00AD7C26"/>
    <w:rsid w:val="00AF2C29"/>
    <w:rsid w:val="00B12229"/>
    <w:rsid w:val="00B16D23"/>
    <w:rsid w:val="00B401E0"/>
    <w:rsid w:val="00B40A05"/>
    <w:rsid w:val="00B4384F"/>
    <w:rsid w:val="00B47A1D"/>
    <w:rsid w:val="00B60D1E"/>
    <w:rsid w:val="00B7002C"/>
    <w:rsid w:val="00B718F6"/>
    <w:rsid w:val="00B753C5"/>
    <w:rsid w:val="00B80E42"/>
    <w:rsid w:val="00B85ACE"/>
    <w:rsid w:val="00B94184"/>
    <w:rsid w:val="00B96718"/>
    <w:rsid w:val="00BA613D"/>
    <w:rsid w:val="00BA6268"/>
    <w:rsid w:val="00BA7829"/>
    <w:rsid w:val="00BC7B32"/>
    <w:rsid w:val="00BD4C8D"/>
    <w:rsid w:val="00BD6E64"/>
    <w:rsid w:val="00BE20BC"/>
    <w:rsid w:val="00C02E4A"/>
    <w:rsid w:val="00C13E3E"/>
    <w:rsid w:val="00C1701D"/>
    <w:rsid w:val="00C33A38"/>
    <w:rsid w:val="00C342B5"/>
    <w:rsid w:val="00C41999"/>
    <w:rsid w:val="00C5639E"/>
    <w:rsid w:val="00C660F9"/>
    <w:rsid w:val="00C7493D"/>
    <w:rsid w:val="00C9238E"/>
    <w:rsid w:val="00CA54DA"/>
    <w:rsid w:val="00CC51F8"/>
    <w:rsid w:val="00CC5681"/>
    <w:rsid w:val="00CD48D7"/>
    <w:rsid w:val="00CE40AA"/>
    <w:rsid w:val="00CE4CA0"/>
    <w:rsid w:val="00CE6F8F"/>
    <w:rsid w:val="00CF0013"/>
    <w:rsid w:val="00CF49A1"/>
    <w:rsid w:val="00CF5D21"/>
    <w:rsid w:val="00D20957"/>
    <w:rsid w:val="00D40D82"/>
    <w:rsid w:val="00D45642"/>
    <w:rsid w:val="00D469CB"/>
    <w:rsid w:val="00D5193A"/>
    <w:rsid w:val="00D632C9"/>
    <w:rsid w:val="00D742B3"/>
    <w:rsid w:val="00D97C65"/>
    <w:rsid w:val="00DB3F1D"/>
    <w:rsid w:val="00DC46CC"/>
    <w:rsid w:val="00DC5EEC"/>
    <w:rsid w:val="00DD0023"/>
    <w:rsid w:val="00DE3C7E"/>
    <w:rsid w:val="00DE62E6"/>
    <w:rsid w:val="00E12BD2"/>
    <w:rsid w:val="00E17C99"/>
    <w:rsid w:val="00E35E53"/>
    <w:rsid w:val="00E533EB"/>
    <w:rsid w:val="00E5479D"/>
    <w:rsid w:val="00E6078F"/>
    <w:rsid w:val="00E609FD"/>
    <w:rsid w:val="00E61E9A"/>
    <w:rsid w:val="00E75677"/>
    <w:rsid w:val="00E877B7"/>
    <w:rsid w:val="00E95BF5"/>
    <w:rsid w:val="00EA1070"/>
    <w:rsid w:val="00EA5CD3"/>
    <w:rsid w:val="00EC1325"/>
    <w:rsid w:val="00EC4058"/>
    <w:rsid w:val="00ED0561"/>
    <w:rsid w:val="00ED0AAD"/>
    <w:rsid w:val="00ED0D6B"/>
    <w:rsid w:val="00ED198B"/>
    <w:rsid w:val="00EE28D5"/>
    <w:rsid w:val="00EE6695"/>
    <w:rsid w:val="00EF12E3"/>
    <w:rsid w:val="00F00C89"/>
    <w:rsid w:val="00F05706"/>
    <w:rsid w:val="00F31D91"/>
    <w:rsid w:val="00F3779C"/>
    <w:rsid w:val="00F44400"/>
    <w:rsid w:val="00F52C08"/>
    <w:rsid w:val="00F636E7"/>
    <w:rsid w:val="00F70D53"/>
    <w:rsid w:val="00F91A2C"/>
    <w:rsid w:val="00F94B9D"/>
    <w:rsid w:val="00FA2E3B"/>
    <w:rsid w:val="00FB300D"/>
    <w:rsid w:val="00FC4410"/>
    <w:rsid w:val="00FC4565"/>
    <w:rsid w:val="00FF49C5"/>
    <w:rsid w:val="00FF49F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C03D31"/>
  <w15:docId w15:val="{28D68CEB-4801-4DEB-950F-BEA591DA5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color w:val="000000"/>
      <w:u w:color="000000"/>
      <w:lang w:val="de-DE"/>
    </w:rPr>
  </w:style>
  <w:style w:type="paragraph" w:styleId="berschrift1">
    <w:name w:val="heading 1"/>
    <w:basedOn w:val="Standard"/>
    <w:next w:val="Standard"/>
    <w:uiPriority w:val="9"/>
    <w:qFormat/>
    <w:pPr>
      <w:keepNext/>
      <w:keepLines/>
      <w:spacing w:before="480" w:after="120"/>
      <w:outlineLvl w:val="0"/>
    </w:pPr>
    <w:rPr>
      <w:b/>
      <w:sz w:val="48"/>
      <w:szCs w:val="48"/>
    </w:rPr>
  </w:style>
  <w:style w:type="paragraph" w:styleId="berschrift2">
    <w:name w:val="heading 2"/>
    <w:basedOn w:val="Standard"/>
    <w:next w:val="Standard"/>
    <w:uiPriority w:val="9"/>
    <w:semiHidden/>
    <w:unhideWhenUsed/>
    <w:qFormat/>
    <w:pPr>
      <w:keepNext/>
      <w:keepLines/>
      <w:spacing w:before="360" w:after="80"/>
      <w:outlineLvl w:val="1"/>
    </w:pPr>
    <w:rPr>
      <w:b/>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character" w:styleId="Hyperlink">
    <w:name w:val="Hyperlink"/>
    <w:rPr>
      <w:u w:val="single"/>
    </w:rPr>
  </w:style>
  <w:style w:type="character" w:styleId="NichtaufgelsteErwhnung">
    <w:name w:val="Unresolved Mention"/>
    <w:basedOn w:val="Absatz-Standardschriftart"/>
    <w:uiPriority w:val="99"/>
    <w:semiHidden/>
    <w:unhideWhenUsed/>
    <w:rsid w:val="00B5436B"/>
    <w:rPr>
      <w:color w:val="605E5C"/>
      <w:shd w:val="clear" w:color="auto" w:fill="E1DFDD"/>
    </w:rPr>
  </w:style>
  <w:style w:type="paragraph" w:customStyle="1" w:styleId="Kopf-undFuzeilen">
    <w:name w:val="Kopf- und Fußzeilen"/>
    <w:pPr>
      <w:tabs>
        <w:tab w:val="right" w:pos="9020"/>
      </w:tabs>
    </w:pPr>
    <w:rPr>
      <w:rFonts w:ascii="Helvetica" w:hAnsi="Helvetica" w:cs="Arial Unicode MS"/>
      <w:color w:val="000000"/>
      <w:sz w:val="24"/>
      <w:szCs w:val="24"/>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rFonts w:ascii="Calibri" w:eastAsia="Calibri" w:hAnsi="Calibri" w:cs="Calibri"/>
      <w:color w:val="000000"/>
      <w:u w:color="000000"/>
      <w:lang w:val="de-DE"/>
    </w:rPr>
  </w:style>
  <w:style w:type="character" w:styleId="Kommentarzeichen">
    <w:name w:val="annotation reference"/>
    <w:basedOn w:val="Absatz-Standardschriftart"/>
    <w:uiPriority w:val="99"/>
    <w:semiHidden/>
    <w:unhideWhenUsed/>
    <w:rPr>
      <w:sz w:val="16"/>
      <w:szCs w:val="16"/>
    </w:rPr>
  </w:style>
  <w:style w:type="paragraph" w:styleId="Sprechblasentext">
    <w:name w:val="Balloon Text"/>
    <w:basedOn w:val="Standard"/>
    <w:link w:val="SprechblasentextZchn"/>
    <w:uiPriority w:val="99"/>
    <w:semiHidden/>
    <w:unhideWhenUsed/>
    <w:rsid w:val="00FF0904"/>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FF0904"/>
    <w:rPr>
      <w:rFonts w:ascii="Segoe UI" w:eastAsia="Calibri" w:hAnsi="Segoe UI" w:cs="Segoe UI"/>
      <w:color w:val="000000"/>
      <w:sz w:val="18"/>
      <w:szCs w:val="18"/>
      <w:u w:color="000000"/>
      <w:lang w:val="de-DE"/>
    </w:rPr>
  </w:style>
  <w:style w:type="paragraph" w:styleId="Kommentarthema">
    <w:name w:val="annotation subject"/>
    <w:basedOn w:val="Kommentartext"/>
    <w:next w:val="Kommentartext"/>
    <w:link w:val="KommentarthemaZchn"/>
    <w:uiPriority w:val="99"/>
    <w:semiHidden/>
    <w:unhideWhenUsed/>
    <w:rsid w:val="00FF0904"/>
    <w:rPr>
      <w:b/>
      <w:bCs/>
    </w:rPr>
  </w:style>
  <w:style w:type="character" w:customStyle="1" w:styleId="KommentarthemaZchn">
    <w:name w:val="Kommentarthema Zchn"/>
    <w:basedOn w:val="KommentartextZchn"/>
    <w:link w:val="Kommentarthema"/>
    <w:uiPriority w:val="99"/>
    <w:semiHidden/>
    <w:rsid w:val="00FF0904"/>
    <w:rPr>
      <w:rFonts w:ascii="Calibri" w:eastAsia="Calibri" w:hAnsi="Calibri" w:cs="Calibri"/>
      <w:b/>
      <w:bCs/>
      <w:color w:val="000000"/>
      <w:u w:color="000000"/>
      <w:lang w:val="de-DE"/>
    </w:rPr>
  </w:style>
  <w:style w:type="paragraph" w:styleId="berarbeitung">
    <w:name w:val="Revision"/>
    <w:hidden/>
    <w:uiPriority w:val="99"/>
    <w:semiHidden/>
    <w:rsid w:val="00AB29BC"/>
    <w:rPr>
      <w:color w:val="000000"/>
      <w:u w:color="000000"/>
      <w:lang w:val="de-DE"/>
    </w:rPr>
  </w:style>
  <w:style w:type="paragraph" w:styleId="Kopfzeile">
    <w:name w:val="header"/>
    <w:basedOn w:val="Standard"/>
    <w:link w:val="KopfzeileZchn"/>
    <w:uiPriority w:val="99"/>
    <w:unhideWhenUsed/>
    <w:rsid w:val="0018308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83084"/>
    <w:rPr>
      <w:rFonts w:ascii="Calibri" w:eastAsia="Calibri" w:hAnsi="Calibri" w:cs="Calibri"/>
      <w:color w:val="000000"/>
      <w:sz w:val="22"/>
      <w:szCs w:val="22"/>
      <w:u w:color="000000"/>
      <w:lang w:val="de-DE"/>
    </w:rPr>
  </w:style>
  <w:style w:type="paragraph" w:styleId="Fuzeile">
    <w:name w:val="footer"/>
    <w:basedOn w:val="Standard"/>
    <w:link w:val="FuzeileZchn"/>
    <w:uiPriority w:val="99"/>
    <w:unhideWhenUsed/>
    <w:rsid w:val="0018308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83084"/>
    <w:rPr>
      <w:rFonts w:ascii="Calibri" w:eastAsia="Calibri" w:hAnsi="Calibri" w:cs="Calibri"/>
      <w:color w:val="000000"/>
      <w:sz w:val="22"/>
      <w:szCs w:val="22"/>
      <w:u w:color="000000"/>
      <w:lang w:val="de-DE"/>
    </w:rPr>
  </w:style>
  <w:style w:type="paragraph" w:styleId="Listenabsatz">
    <w:name w:val="List Paragraph"/>
    <w:basedOn w:val="Standard"/>
    <w:uiPriority w:val="34"/>
    <w:qFormat/>
    <w:rsid w:val="0003172A"/>
    <w:pPr>
      <w:ind w:left="720"/>
      <w:contextualSpacing/>
    </w:pPr>
  </w:style>
  <w:style w:type="table" w:customStyle="1" w:styleId="TableNormal10">
    <w:name w:val="Table Normal1"/>
    <w:rsid w:val="0002658B"/>
    <w:tblPr>
      <w:tblInd w:w="0" w:type="dxa"/>
      <w:tblCellMar>
        <w:top w:w="0" w:type="dxa"/>
        <w:left w:w="0" w:type="dxa"/>
        <w:bottom w:w="0" w:type="dxa"/>
        <w:right w:w="0" w:type="dxa"/>
      </w:tblCellMar>
    </w:tblPr>
  </w:style>
  <w:style w:type="paragraph" w:customStyle="1" w:styleId="paragraph">
    <w:name w:val="paragraph"/>
    <w:basedOn w:val="Standard"/>
    <w:rsid w:val="00AB7052"/>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normaltextrun">
    <w:name w:val="normaltextrun"/>
    <w:basedOn w:val="Absatz-Standardschriftart"/>
    <w:rsid w:val="00AB7052"/>
  </w:style>
  <w:style w:type="character" w:customStyle="1" w:styleId="eop">
    <w:name w:val="eop"/>
    <w:basedOn w:val="Absatz-Standardschriftart"/>
    <w:rsid w:val="00AB7052"/>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paragraph" w:styleId="StandardWeb">
    <w:name w:val="Normal (Web)"/>
    <w:basedOn w:val="Standard"/>
    <w:uiPriority w:val="99"/>
    <w:unhideWhenUsed/>
    <w:rsid w:val="00230668"/>
    <w:pPr>
      <w:spacing w:before="100" w:beforeAutospacing="1" w:after="100" w:afterAutospacing="1" w:line="240" w:lineRule="auto"/>
    </w:pPr>
    <w:rPr>
      <w:rFonts w:ascii="Times New Roman" w:eastAsia="Times New Roman" w:hAnsi="Times New Roman" w:cs="Times New Roman"/>
      <w:color w:val="auto"/>
      <w:sz w:val="24"/>
      <w:szCs w:val="24"/>
    </w:rPr>
  </w:style>
  <w:style w:type="table" w:styleId="Tabellenraster">
    <w:name w:val="Table Grid"/>
    <w:basedOn w:val="NormaleTabelle"/>
    <w:uiPriority w:val="39"/>
    <w:rsid w:val="002845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84391">
      <w:bodyDiv w:val="1"/>
      <w:marLeft w:val="0"/>
      <w:marRight w:val="0"/>
      <w:marTop w:val="0"/>
      <w:marBottom w:val="0"/>
      <w:divBdr>
        <w:top w:val="none" w:sz="0" w:space="0" w:color="auto"/>
        <w:left w:val="none" w:sz="0" w:space="0" w:color="auto"/>
        <w:bottom w:val="none" w:sz="0" w:space="0" w:color="auto"/>
        <w:right w:val="none" w:sz="0" w:space="0" w:color="auto"/>
      </w:divBdr>
    </w:div>
    <w:div w:id="999381566">
      <w:bodyDiv w:val="1"/>
      <w:marLeft w:val="0"/>
      <w:marRight w:val="0"/>
      <w:marTop w:val="0"/>
      <w:marBottom w:val="0"/>
      <w:divBdr>
        <w:top w:val="none" w:sz="0" w:space="0" w:color="auto"/>
        <w:left w:val="none" w:sz="0" w:space="0" w:color="auto"/>
        <w:bottom w:val="none" w:sz="0" w:space="0" w:color="auto"/>
        <w:right w:val="none" w:sz="0" w:space="0" w:color="auto"/>
      </w:divBdr>
    </w:div>
    <w:div w:id="13718072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www.ineratec.com/"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breakthroughenergy.org/" TargetMode="External"/><Relationship Id="rId2" Type="http://schemas.openxmlformats.org/officeDocument/2006/relationships/customXml" Target="../customXml/item2.xml"/><Relationship Id="rId16" Type="http://schemas.openxmlformats.org/officeDocument/2006/relationships/hyperlink" Target="https://ec.europa.eu/commission/presscorner/detail/en/ip_21_5586" TargetMode="External"/><Relationship Id="rId20" Type="http://schemas.openxmlformats.org/officeDocument/2006/relationships/hyperlink" Target="mailto:d.riedel@eib.org"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jpeg"/><Relationship Id="rId10" Type="http://schemas.openxmlformats.org/officeDocument/2006/relationships/footnotes" Target="footnotes.xml"/><Relationship Id="rId19" Type="http://schemas.openxmlformats.org/officeDocument/2006/relationships/hyperlink" Target="mailto:isabel.fisch@ineratec.de"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go:gDocsCustomXmlDataStorage xmlns:go="http://customooxmlschemas.google.com/" xmlns:r="http://schemas.openxmlformats.org/officeDocument/2006/relationships">
  <go:docsCustomData xmlns:go="http://customooxmlschemas.google.com/" roundtripDataSignature="AMtx7mh9VPpY+65k3BcZaF1t1Ygrm0Gs3w==">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</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2a250a9-93a1-4925-94d7-7f2b4c7156e7">
      <Terms xmlns="http://schemas.microsoft.com/office/infopath/2007/PartnerControls"/>
    </lcf76f155ced4ddcb4097134ff3c332f>
    <TaxCatchAll xmlns="52292bce-4edb-4036-a864-cd5a0a38fda9"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3004766C77DD204084F29750D76B5ECD" ma:contentTypeVersion="18" ma:contentTypeDescription="Ein neues Dokument erstellen." ma:contentTypeScope="" ma:versionID="2ac6babf1c733e5577fe67ec4d6d3ab1">
  <xsd:schema xmlns:xsd="http://www.w3.org/2001/XMLSchema" xmlns:xs="http://www.w3.org/2001/XMLSchema" xmlns:p="http://schemas.microsoft.com/office/2006/metadata/properties" xmlns:ns2="62a250a9-93a1-4925-94d7-7f2b4c7156e7" xmlns:ns3="52292bce-4edb-4036-a864-cd5a0a38fda9" targetNamespace="http://schemas.microsoft.com/office/2006/metadata/properties" ma:root="true" ma:fieldsID="0ce61e68e45dfcd5303851296b049398" ns2:_="" ns3:_="">
    <xsd:import namespace="62a250a9-93a1-4925-94d7-7f2b4c7156e7"/>
    <xsd:import namespace="52292bce-4edb-4036-a864-cd5a0a38fda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a250a9-93a1-4925-94d7-7f2b4c715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dcb1a7ab-5804-4f05-8448-cb0abaf5fe1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2292bce-4edb-4036-a864-cd5a0a38fda9"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576eb01b-a730-420e-a791-8eb8da472ae9}" ma:internalName="TaxCatchAll" ma:showField="CatchAllData" ma:web="52292bce-4edb-4036-a864-cd5a0a38fd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6C3043C-94C4-42C3-938B-C5D090B1E7E8}">
  <ds:schemaRefs>
    <ds:schemaRef ds:uri="http://schemas.microsoft.com/sharepoint/v3/contenttype/forms"/>
  </ds:schemaRefs>
</ds:datastoreItem>
</file>

<file path=customXml/itemProps2.xml><?xml version="1.0" encoding="utf-8"?>
<ds:datastoreItem xmlns:ds="http://schemas.openxmlformats.org/officeDocument/2006/customXml" ds:itemID="{36C5EDDD-E537-4374-A721-E61639E9B999}">
  <ds:schemaRefs>
    <ds:schemaRef ds:uri="http://schemas.openxmlformats.org/officeDocument/2006/bibliography"/>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17562E79-A1CE-4F9E-98F6-3BC317AEC7E2}">
  <ds:schemaRefs>
    <ds:schemaRef ds:uri="http://schemas.microsoft.com/office/2006/metadata/properties"/>
    <ds:schemaRef ds:uri="http://schemas.microsoft.com/office/infopath/2007/PartnerControls"/>
    <ds:schemaRef ds:uri="62a250a9-93a1-4925-94d7-7f2b4c7156e7"/>
    <ds:schemaRef ds:uri="52292bce-4edb-4036-a864-cd5a0a38fda9"/>
  </ds:schemaRefs>
</ds:datastoreItem>
</file>

<file path=customXml/itemProps5.xml><?xml version="1.0" encoding="utf-8"?>
<ds:datastoreItem xmlns:ds="http://schemas.openxmlformats.org/officeDocument/2006/customXml" ds:itemID="{7427F182-47EF-4473-B643-5A7939A07A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a250a9-93a1-4925-94d7-7f2b4c7156e7"/>
    <ds:schemaRef ds:uri="52292bce-4edb-4036-a864-cd5a0a38fd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77956f2-234e-4ed7-affe-b831798e43d4}" enabled="0" method="" siteId="{a77956f2-234e-4ed7-affe-b831798e43d4}"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6</Pages>
  <Words>1195</Words>
  <Characters>7531</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FTI</dc:creator>
  <cp:lastModifiedBy>Mario Pistorius</cp:lastModifiedBy>
  <cp:revision>4</cp:revision>
  <cp:lastPrinted>2025-01-29T15:06:00Z</cp:lastPrinted>
  <dcterms:created xsi:type="dcterms:W3CDTF">2025-01-29T15:06:00Z</dcterms:created>
  <dcterms:modified xsi:type="dcterms:W3CDTF">2025-01-31T10:47:00Z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0x0101003004766C77DD204084F29750D76B5ECD</vt:lpwstr>
  </property>
  <property fmtid="{D5CDD505-2E9C-101B-9397-08002B2CF9AE}" pid="3" name="MediaServiceImageTags">
    <vt:lpwstr/>
  </property>
  <property fmtid="{D5CDD505-2E9C-101B-9397-08002B2CF9AE}" pid="4" name="MSIP_Label_49de48b6-d94a-42bd-85fa-0bec9d040ded_Enabled">
    <vt:lpwstr>true</vt:lpwstr>
  </property>
  <property fmtid="{D5CDD505-2E9C-101B-9397-08002B2CF9AE}" pid="5" name="MSIP_Label_49de48b6-d94a-42bd-85fa-0bec9d040ded_SetDate">
    <vt:lpwstr>2025-01-29T12:02:34Z</vt:lpwstr>
  </property>
  <property fmtid="{D5CDD505-2E9C-101B-9397-08002B2CF9AE}" pid="6" name="MSIP_Label_49de48b6-d94a-42bd-85fa-0bec9d040ded_Method">
    <vt:lpwstr>Standard</vt:lpwstr>
  </property>
  <property fmtid="{D5CDD505-2E9C-101B-9397-08002B2CF9AE}" pid="7" name="MSIP_Label_49de48b6-d94a-42bd-85fa-0bec9d040ded_Name">
    <vt:lpwstr>General</vt:lpwstr>
  </property>
  <property fmtid="{D5CDD505-2E9C-101B-9397-08002B2CF9AE}" pid="8" name="MSIP_Label_49de48b6-d94a-42bd-85fa-0bec9d040ded_SiteId">
    <vt:lpwstr>16940056-0374-41ee-918a-557632270fe9</vt:lpwstr>
  </property>
  <property fmtid="{D5CDD505-2E9C-101B-9397-08002B2CF9AE}" pid="9" name="MSIP_Label_49de48b6-d94a-42bd-85fa-0bec9d040ded_ActionId">
    <vt:lpwstr>88733675-ac7e-4992-94ba-0d78eeba3bdf</vt:lpwstr>
  </property>
  <property fmtid="{D5CDD505-2E9C-101B-9397-08002B2CF9AE}" pid="10" name="MSIP_Label_49de48b6-d94a-42bd-85fa-0bec9d040ded_ContentBits">
    <vt:lpwstr>0</vt:lpwstr>
  </property>
</Properties>
</file>